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pBdr>
          <w:bottom w:val="single" w:color="008264" w:sz="12" w:space="6"/>
        </w:pBdr>
        <w:spacing w:after="0" w:before="0"/>
        <w:jc w:val="center"/>
      </w:pPr>
      <w:r>
        <w:rPr>
          <w:rFonts w:ascii="Century Gothic" w:cs="Century Gothic" w:eastAsia="Century Gothic" w:hAnsi="Century Gothic"/>
          <w:b/>
          <w:bCs/>
          <w:caps/>
          <w:color w:val="008264"/>
          <w:sz w:val="40"/>
          <w:szCs w:val="40"/>
        </w:rPr>
        <w:t xml:space="preserve">VANTAGE SPECIALTY CHEMICALS</w:t>
      </w:r>
    </w:p>
    <w:p>
      <w:pPr>
        <w:spacing w:after="0" w:before="120"/>
      </w:pPr>
    </w:p>
    <w:p>
      <w:pPr>
        <w:spacing w:after="0" w:before="0"/>
        <w:jc w:val="center"/>
      </w:pPr>
      <w:r>
        <w:rPr>
          <w:rFonts w:ascii="Century Gothic" w:cs="Century Gothic" w:eastAsia="Century Gothic" w:hAnsi="Century Gothic"/>
          <w:b/>
          <w:bCs/>
          <w:color w:val="161617"/>
          <w:sz w:val="52"/>
          <w:szCs w:val="52"/>
        </w:rPr>
        <w:t xml:space="preserve">Updated ESG Materiality Assessment</w:t>
      </w:r>
    </w:p>
    <w:p>
      <w:pPr>
        <w:spacing w:after="0" w:before="80"/>
      </w:pPr>
    </w:p>
    <w:p>
      <w:pPr>
        <w:spacing w:after="0" w:before="0"/>
        <w:jc w:val="center"/>
      </w:pPr>
      <w:r>
        <w:rPr>
          <w:rFonts w:ascii="Century Gothic" w:cs="Century Gothic" w:eastAsia="Century Gothic" w:hAnsi="Century Gothic"/>
          <w:i/>
          <w:iCs/>
          <w:color w:val="555555"/>
          <w:sz w:val="24"/>
          <w:szCs w:val="24"/>
        </w:rPr>
        <w:t xml:space="preserve">Based on 2022 Foundation | Updated with 2024–2025 Data</w:t>
      </w:r>
    </w:p>
    <w:p>
      <w:pPr>
        <w:spacing w:after="0" w:before="200"/>
      </w:pPr>
    </w:p>
    <w:p>
      <w:pPr>
        <w:spacing w:after="0" w:before="0"/>
        <w:jc w:val="center"/>
      </w:pPr>
      <w:r>
        <w:rPr>
          <w:rFonts w:ascii="Century Gothic" w:cs="Century Gothic" w:eastAsia="Century Gothic" w:hAnsi="Century Gothic"/>
          <w:color w:val="161617"/>
          <w:sz w:val="20"/>
          <w:szCs w:val="20"/>
        </w:rPr>
        <w:t xml:space="preserve">Prepared by: Global Director, Sustainability</w:t>
      </w:r>
    </w:p>
    <w:p>
      <w:pPr>
        <w:spacing w:after="0" w:before="60"/>
        <w:jc w:val="center"/>
      </w:pPr>
      <w:r>
        <w:rPr>
          <w:rFonts w:ascii="Century Gothic" w:cs="Century Gothic" w:eastAsia="Century Gothic" w:hAnsi="Century Gothic"/>
          <w:color w:val="161617"/>
          <w:sz w:val="20"/>
          <w:szCs w:val="20"/>
        </w:rPr>
        <w:t xml:space="preserve">Reviewed by: SVP Corporate Affairs &amp; Sustainability</w:t>
      </w:r>
    </w:p>
    <w:p>
      <w:pPr>
        <w:spacing w:after="0" w:before="60"/>
        <w:jc w:val="center"/>
      </w:pPr>
      <w:r>
        <w:rPr>
          <w:rFonts w:ascii="Century Gothic" w:cs="Century Gothic" w:eastAsia="Century Gothic" w:hAnsi="Century Gothic"/>
          <w:color w:val="161617"/>
          <w:sz w:val="20"/>
          <w:szCs w:val="20"/>
        </w:rPr>
        <w:t xml:space="preserve">Date: April 2026</w:t>
      </w:r>
    </w:p>
    <w:p>
      <w:pPr>
        <w:spacing w:after="0" w:before="200"/>
      </w:pPr>
    </w:p>
    <w:p>
      <w:pPr>
        <w:spacing w:after="0" w:before="0"/>
        <w:jc w:val="center"/>
      </w:pPr>
      <w:r>
        <w:rPr>
          <w:rFonts w:ascii="Century Gothic" w:cs="Century Gothic" w:eastAsia="Century Gothic" w:hAnsi="Century Gothic"/>
          <w:i/>
          <w:iCs/>
          <w:caps/>
          <w:color w:val="888888"/>
          <w:sz w:val="18"/>
          <w:szCs w:val="18"/>
        </w:rPr>
        <w:t xml:space="preserve">CONFIDENTIAL – FOR INTERNAL USE</w:t>
      </w:r>
    </w:p>
    <w:p>
      <w:r>
        <w:br w:type="page"/>
      </w:r>
    </w:p>
    <w:p>
      <w:pPr>
        <w:pStyle w:val="Heading1"/>
        <w:spacing w:after="160" w:before="320"/>
      </w:pPr>
      <w:r>
        <w:rPr>
          <w:rFonts w:ascii="Century Gothic" w:cs="Century Gothic" w:eastAsia="Century Gothic" w:hAnsi="Century Gothic"/>
          <w:b/>
          <w:bCs/>
          <w:color w:val="008264"/>
          <w:sz w:val="32"/>
          <w:szCs w:val="32"/>
        </w:rPr>
        <w:t xml:space="preserve">Executive Summary</w:t>
      </w:r>
    </w:p>
    <w:p>
      <w:pPr>
        <w:spacing w:after="80" w:before="80"/>
      </w:pPr>
      <w:r>
        <w:rPr>
          <w:rFonts w:ascii="Century Gothic" w:cs="Century Gothic" w:eastAsia="Century Gothic" w:hAnsi="Century Gothic"/>
          <w:color w:val="161617"/>
          <w:sz w:val="20"/>
          <w:szCs w:val="20"/>
        </w:rPr>
        <w:t xml:space="preserve">Vantage Specialty Chemicals conducted its foundational ESG Materiality Assessment in July 2022 in partnership with Anthesis Group. That process benchmarked ten priority ESG topics against five industry peers (Croda, Corbion, Clariant, Cargill, Ashland) and five key customers (Estée Lauder, Unilever, L'Oréal, Nestlé, Tree Top), and included fifteen internal stakeholder interviews across all major business units and geographies.</w:t>
      </w:r>
    </w:p>
    <w:p>
      <w:pPr>
        <w:spacing w:after="0" w:before="60"/>
      </w:pPr>
    </w:p>
    <w:p>
      <w:pPr>
        <w:spacing w:after="80" w:before="80"/>
      </w:pPr>
      <w:r>
        <w:rPr>
          <w:rFonts w:ascii="Century Gothic" w:cs="Century Gothic" w:eastAsia="Century Gothic" w:hAnsi="Century Gothic"/>
          <w:color w:val="161617"/>
          <w:sz w:val="20"/>
          <w:szCs w:val="20"/>
        </w:rPr>
        <w:t xml:space="preserve">This updated assessment retains the original ten-topic framework and two-tier prioritization structure (Strategic Priorities vs. Monitored Topics) while incorporating substantial new data and program advances from 2024–2025. It integrates evidence from Vantage's inaugural Sustainability Overview (March 2026), FY2024 GHG and water performance data, the EcoVadis Corrective Action Program, EHS monthly dashboards, the Anti-Corruption Risk Assessment, ESG Supplier Questionnaire results, and employee training records.</w:t>
      </w:r>
    </w:p>
    <w:p>
      <w:pPr>
        <w:spacing w:after="0" w:before="60"/>
      </w:pPr>
    </w:p>
    <w:p>
      <w:pPr>
        <w:spacing w:after="80" w:before="80"/>
      </w:pPr>
      <w:r>
        <w:rPr>
          <w:rFonts w:ascii="Century Gothic" w:cs="Century Gothic" w:eastAsia="Century Gothic" w:hAnsi="Century Gothic"/>
          <w:color w:val="161617"/>
          <w:sz w:val="20"/>
          <w:szCs w:val="20"/>
        </w:rPr>
        <w:t xml:space="preserve">Key progress highlights since 2022:</w:t>
      </w:r>
    </w:p>
    <w:p>
      <w:pPr>
        <w:pStyle w:val="ListParagraph"/>
        <w:numPr>
          <w:ilvl w:val="0"/>
          <w:numId w:val="2"/>
        </w:numPr>
        <w:spacing w:after="60" w:before="60"/>
      </w:pPr>
      <w:r>
        <w:rPr>
          <w:rFonts w:ascii="Century Gothic" w:cs="Century Gothic" w:eastAsia="Century Gothic" w:hAnsi="Century Gothic"/>
          <w:color w:val="161617"/>
          <w:sz w:val="20"/>
          <w:szCs w:val="20"/>
        </w:rPr>
        <w:t xml:space="preserve">23% reduction in Scope 1 &amp; 2 GHG emissions from 2021 to 2024 (107,249 → 82,258 tCO2e)</w:t>
      </w:r>
    </w:p>
    <w:p>
      <w:pPr>
        <w:pStyle w:val="ListParagraph"/>
        <w:numPr>
          <w:ilvl w:val="0"/>
          <w:numId w:val="2"/>
        </w:numPr>
        <w:spacing w:after="60" w:before="60"/>
      </w:pPr>
      <w:r>
        <w:rPr>
          <w:rFonts w:ascii="Century Gothic" w:cs="Century Gothic" w:eastAsia="Century Gothic" w:hAnsi="Century Gothic"/>
          <w:color w:val="161617"/>
          <w:sz w:val="20"/>
          <w:szCs w:val="20"/>
        </w:rPr>
        <w:t xml:space="preserve">20% reduction in water withdrawal since 2021 (16,522 → 13,152 ML)</w:t>
      </w:r>
    </w:p>
    <w:p>
      <w:pPr>
        <w:pStyle w:val="ListParagraph"/>
        <w:numPr>
          <w:ilvl w:val="0"/>
          <w:numId w:val="2"/>
        </w:numPr>
        <w:spacing w:after="60" w:before="60"/>
      </w:pPr>
      <w:r>
        <w:rPr>
          <w:rFonts w:ascii="Century Gothic" w:cs="Century Gothic" w:eastAsia="Century Gothic" w:hAnsi="Century Gothic"/>
          <w:color w:val="161617"/>
          <w:sz w:val="20"/>
          <w:szCs w:val="20"/>
        </w:rPr>
        <w:t xml:space="preserve">TRIR of 0.7–0.8 in 2024–2025, well below the chemical industry average of 1.8</w:t>
      </w:r>
    </w:p>
    <w:p>
      <w:pPr>
        <w:pStyle w:val="ListParagraph"/>
        <w:numPr>
          <w:ilvl w:val="0"/>
          <w:numId w:val="2"/>
        </w:numPr>
        <w:spacing w:after="60" w:before="60"/>
      </w:pPr>
      <w:r>
        <w:rPr>
          <w:rFonts w:ascii="Century Gothic" w:cs="Century Gothic" w:eastAsia="Century Gothic" w:hAnsi="Century Gothic"/>
          <w:color w:val="161617"/>
          <w:sz w:val="20"/>
          <w:szCs w:val="20"/>
        </w:rPr>
        <w:t xml:space="preserve">ESG Steering Committee established with monthly reporting cadence to CEO and Board</w:t>
      </w:r>
    </w:p>
    <w:p>
      <w:pPr>
        <w:pStyle w:val="ListParagraph"/>
        <w:numPr>
          <w:ilvl w:val="0"/>
          <w:numId w:val="2"/>
        </w:numPr>
        <w:spacing w:after="60" w:before="60"/>
      </w:pPr>
      <w:r>
        <w:rPr>
          <w:rFonts w:ascii="Century Gothic" w:cs="Century Gothic" w:eastAsia="Century Gothic" w:hAnsi="Century Gothic"/>
          <w:color w:val="161617"/>
          <w:sz w:val="20"/>
          <w:szCs w:val="20"/>
        </w:rPr>
        <w:t xml:space="preserve">ESG Supplier Questionnaire launched in 2024; REACH compliance assessment procedure developed</w:t>
      </w:r>
    </w:p>
    <w:p>
      <w:pPr>
        <w:pStyle w:val="ListParagraph"/>
        <w:numPr>
          <w:ilvl w:val="0"/>
          <w:numId w:val="2"/>
        </w:numPr>
        <w:spacing w:after="60" w:before="60"/>
      </w:pPr>
      <w:r>
        <w:rPr>
          <w:rFonts w:ascii="Century Gothic" w:cs="Century Gothic" w:eastAsia="Century Gothic" w:hAnsi="Century Gothic"/>
          <w:color w:val="161617"/>
          <w:sz w:val="20"/>
          <w:szCs w:val="20"/>
        </w:rPr>
        <w:t xml:space="preserve">Comprehensive Anti-Corruption Risk Assessment completed (19 risks, 19 controls)</w:t>
      </w:r>
    </w:p>
    <w:p>
      <w:pPr>
        <w:pStyle w:val="ListParagraph"/>
        <w:numPr>
          <w:ilvl w:val="0"/>
          <w:numId w:val="2"/>
        </w:numPr>
        <w:spacing w:after="60" w:before="60"/>
      </w:pPr>
      <w:r>
        <w:rPr>
          <w:rFonts w:ascii="Century Gothic" w:cs="Century Gothic" w:eastAsia="Century Gothic" w:hAnsi="Century Gothic"/>
          <w:color w:val="161617"/>
          <w:sz w:val="20"/>
          <w:szCs w:val="20"/>
        </w:rPr>
        <w:t xml:space="preserve">Human Rights Policy, Living Wage Assessment, Freedom of Association policy formalized</w:t>
      </w:r>
    </w:p>
    <w:p>
      <w:pPr>
        <w:pStyle w:val="ListParagraph"/>
        <w:numPr>
          <w:ilvl w:val="0"/>
          <w:numId w:val="2"/>
        </w:numPr>
        <w:spacing w:after="60" w:before="60"/>
      </w:pPr>
      <w:r>
        <w:rPr>
          <w:rFonts w:ascii="Century Gothic" w:cs="Century Gothic" w:eastAsia="Century Gothic" w:hAnsi="Century Gothic"/>
          <w:color w:val="161617"/>
          <w:sz w:val="20"/>
          <w:szCs w:val="20"/>
        </w:rPr>
        <w:t xml:space="preserve">&gt;80% of product portfolio derived from bio-based feedstocks; multiple sustainable product innovation awards</w:t>
      </w:r>
    </w:p>
    <w:p>
      <w:pPr>
        <w:pStyle w:val="ListParagraph"/>
        <w:numPr>
          <w:ilvl w:val="0"/>
          <w:numId w:val="2"/>
        </w:numPr>
        <w:spacing w:after="60" w:before="60"/>
      </w:pPr>
      <w:r>
        <w:rPr>
          <w:rFonts w:ascii="Century Gothic" w:cs="Century Gothic" w:eastAsia="Century Gothic" w:hAnsi="Century Gothic"/>
          <w:color w:val="161617"/>
          <w:sz w:val="20"/>
          <w:szCs w:val="20"/>
        </w:rPr>
        <w:t xml:space="preserve">TCFD disclosure framework adopted; RSPO and Transparency One memberships active</w:t>
      </w:r>
    </w:p>
    <w:p>
      <w:pPr>
        <w:spacing w:after="0" w:before="60"/>
      </w:pPr>
    </w:p>
    <w:p>
      <w:pPr>
        <w:spacing w:after="80" w:before="80"/>
      </w:pPr>
      <w:r>
        <w:rPr>
          <w:rFonts w:ascii="Century Gothic" w:cs="Century Gothic" w:eastAsia="Century Gothic" w:hAnsi="Century Gothic"/>
          <w:color w:val="161617"/>
          <w:sz w:val="20"/>
          <w:szCs w:val="20"/>
        </w:rPr>
        <w:t xml:space="preserve">Key gaps and information still needed are identified in Section 6. The updated materiality topic priority map is presented in Section 4.</w:t>
      </w:r>
    </w:p>
    <w:p>
      <w:r>
        <w:br w:type="page"/>
      </w:r>
    </w:p>
    <w:p>
      <w:pPr>
        <w:pStyle w:val="Heading1"/>
        <w:spacing w:after="160" w:before="320"/>
      </w:pPr>
      <w:r>
        <w:rPr>
          <w:rFonts w:ascii="Century Gothic" w:cs="Century Gothic" w:eastAsia="Century Gothic" w:hAnsi="Century Gothic"/>
          <w:b/>
          <w:bCs/>
          <w:color w:val="008264"/>
          <w:sz w:val="32"/>
          <w:szCs w:val="32"/>
        </w:rPr>
        <w:t xml:space="preserve">1. Background and Methodology</w:t>
      </w:r>
    </w:p>
    <w:p>
      <w:pPr>
        <w:pStyle w:val="Heading2"/>
        <w:spacing w:after="120" w:before="240"/>
      </w:pPr>
      <w:r>
        <w:rPr>
          <w:rFonts w:ascii="Century Gothic" w:cs="Century Gothic" w:eastAsia="Century Gothic" w:hAnsi="Century Gothic"/>
          <w:b/>
          <w:bCs/>
          <w:color w:val="008264"/>
          <w:sz w:val="26"/>
          <w:szCs w:val="26"/>
        </w:rPr>
        <w:t xml:space="preserve">1.1  Original 2022 Assessment</w:t>
      </w:r>
    </w:p>
    <w:p>
      <w:pPr>
        <w:spacing w:after="80" w:before="80"/>
      </w:pPr>
      <w:r>
        <w:rPr>
          <w:rFonts w:ascii="Century Gothic" w:cs="Century Gothic" w:eastAsia="Century Gothic" w:hAnsi="Century Gothic"/>
          <w:color w:val="161617"/>
          <w:sz w:val="20"/>
          <w:szCs w:val="20"/>
        </w:rPr>
        <w:t xml:space="preserve">The 2022 materiality assessment followed a four-phase methodology led by Anthesis Group:</w:t>
      </w:r>
    </w:p>
    <w:p>
      <w:pPr>
        <w:pStyle w:val="ListParagraph"/>
        <w:numPr>
          <w:ilvl w:val="0"/>
          <w:numId w:val="2"/>
        </w:numPr>
        <w:spacing w:after="60" w:before="60"/>
      </w:pPr>
      <w:r>
        <w:rPr>
          <w:rFonts w:ascii="Century Gothic" w:cs="Century Gothic" w:eastAsia="Century Gothic" w:hAnsi="Century Gothic"/>
          <w:color w:val="161617"/>
          <w:sz w:val="20"/>
          <w:szCs w:val="20"/>
        </w:rPr>
        <w:t xml:space="preserve">Phase 1 – Benchmarking: Analysis of five ESG reporting frameworks, five peer chemical companies, and five key customers across ten candidate ESG topics</w:t>
      </w:r>
    </w:p>
    <w:p>
      <w:pPr>
        <w:pStyle w:val="ListParagraph"/>
        <w:numPr>
          <w:ilvl w:val="0"/>
          <w:numId w:val="2"/>
        </w:numPr>
        <w:spacing w:after="60" w:before="60"/>
      </w:pPr>
      <w:r>
        <w:rPr>
          <w:rFonts w:ascii="Century Gothic" w:cs="Century Gothic" w:eastAsia="Century Gothic" w:hAnsi="Century Gothic"/>
          <w:color w:val="161617"/>
          <w:sz w:val="20"/>
          <w:szCs w:val="20"/>
        </w:rPr>
        <w:t xml:space="preserve">Phase 2 – Internal Interviews: Fifteen structured interviews with senior leaders and BU representatives spanning Leadership, R&amp;D, Operations, HR, Supply Chain, EMEA, and Sales functions</w:t>
      </w:r>
    </w:p>
    <w:p>
      <w:pPr>
        <w:pStyle w:val="ListParagraph"/>
        <w:numPr>
          <w:ilvl w:val="0"/>
          <w:numId w:val="2"/>
        </w:numPr>
        <w:spacing w:after="60" w:before="60"/>
      </w:pPr>
      <w:r>
        <w:rPr>
          <w:rFonts w:ascii="Century Gothic" w:cs="Century Gothic" w:eastAsia="Century Gothic" w:hAnsi="Century Gothic"/>
          <w:color w:val="161617"/>
          <w:sz w:val="20"/>
          <w:szCs w:val="20"/>
        </w:rPr>
        <w:t xml:space="preserve">Phase 3 – Workshop: Facilitated leadership workshop on July 13, 2022 to validate findings, prioritize topics, and define roadmap ambitions</w:t>
      </w:r>
    </w:p>
    <w:p>
      <w:pPr>
        <w:pStyle w:val="ListParagraph"/>
        <w:numPr>
          <w:ilvl w:val="0"/>
          <w:numId w:val="2"/>
        </w:numPr>
        <w:spacing w:after="60" w:before="60"/>
      </w:pPr>
      <w:r>
        <w:rPr>
          <w:rFonts w:ascii="Century Gothic" w:cs="Century Gothic" w:eastAsia="Century Gothic" w:hAnsi="Century Gothic"/>
          <w:color w:val="161617"/>
          <w:sz w:val="20"/>
          <w:szCs w:val="20"/>
        </w:rPr>
        <w:t xml:space="preserve">Phase 4 – Roadmap Development: Strategic roadmaps for Climate, Sustainable Sourcing &amp; Traceability, Sustainable Product Innovation, DEI, and Governance</w:t>
      </w:r>
    </w:p>
    <w:p>
      <w:pPr>
        <w:spacing w:after="0" w:before="80"/>
      </w:pPr>
    </w:p>
    <w:p>
      <w:pPr>
        <w:spacing w:after="80" w:before="80"/>
      </w:pPr>
      <w:r>
        <w:rPr>
          <w:rFonts w:ascii="Century Gothic" w:cs="Century Gothic" w:eastAsia="Century Gothic" w:hAnsi="Century Gothic"/>
          <w:color w:val="161617"/>
          <w:sz w:val="20"/>
          <w:szCs w:val="20"/>
        </w:rPr>
        <w:t xml:space="preserve">The assessment used a double materiality lens — evaluating both the financial materiality of ESG issues to Vantage's business (outside-in) and Vantage's impact on society and the environment (inside-out).</w:t>
      </w:r>
    </w:p>
    <w:p>
      <w:pPr>
        <w:pStyle w:val="Heading2"/>
        <w:spacing w:after="120" w:before="240"/>
      </w:pPr>
      <w:r>
        <w:rPr>
          <w:rFonts w:ascii="Century Gothic" w:cs="Century Gothic" w:eastAsia="Century Gothic" w:hAnsi="Century Gothic"/>
          <w:b/>
          <w:bCs/>
          <w:color w:val="008264"/>
          <w:sz w:val="26"/>
          <w:szCs w:val="26"/>
        </w:rPr>
        <w:t xml:space="preserve">1.2  2026 Update Approach</w:t>
      </w:r>
    </w:p>
    <w:p>
      <w:pPr>
        <w:spacing w:after="80" w:before="80"/>
      </w:pPr>
      <w:r>
        <w:rPr>
          <w:rFonts w:ascii="Century Gothic" w:cs="Century Gothic" w:eastAsia="Century Gothic" w:hAnsi="Century Gothic"/>
          <w:color w:val="161617"/>
          <w:sz w:val="20"/>
          <w:szCs w:val="20"/>
        </w:rPr>
        <w:t xml:space="preserve">This updated assessment carries forward all original research and stakeholder input from 2022 and supplements it with the following updated sources:</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Source</w:t>
            </w:r>
          </w:p>
        </w:tc>
        <w:tc>
          <w:tcPr>
            <w:tcW w:type="dxa" w:w="708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Relevance</w:t>
            </w:r>
          </w:p>
        </w:tc>
      </w:tr>
      <w:tr>
        <w:tc>
          <w:tcPr>
            <w:tcW w:type="dxa" w:w="30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Sustainability Overview, First Edition (March 2026)</w:t>
            </w:r>
          </w:p>
        </w:tc>
        <w:tc>
          <w:tcPr>
            <w:tcW w:type="dxa" w:w="70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Environmental KPIs, governance structure, TCFD disclosure, stakeholder messaging</w:t>
            </w:r>
          </w:p>
        </w:tc>
      </w:tr>
      <w:tr>
        <w:tc>
          <w:tcPr>
            <w:tcW w:type="dxa" w:w="30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VSC GHG Inventory, FY2024</w:t>
            </w:r>
          </w:p>
        </w:tc>
        <w:tc>
          <w:tcPr>
            <w:tcW w:type="dxa" w:w="70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Scope 1, 2, 3 emissions; energy; intensity data</w:t>
            </w:r>
          </w:p>
        </w:tc>
      </w:tr>
      <w:tr>
        <w:tc>
          <w:tcPr>
            <w:tcW w:type="dxa" w:w="30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2024 Water Data for CDP</w:t>
            </w:r>
          </w:p>
        </w:tc>
        <w:tc>
          <w:tcPr>
            <w:tcW w:type="dxa" w:w="70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Site-level water withdrawal, discharge, consumption</w:t>
            </w:r>
          </w:p>
        </w:tc>
      </w:tr>
      <w:tr>
        <w:tc>
          <w:tcPr>
            <w:tcW w:type="dxa" w:w="30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EHS Monthly Dashboard (Dec 2025)</w:t>
            </w:r>
          </w:p>
        </w:tc>
        <w:tc>
          <w:tcPr>
            <w:tcW w:type="dxa" w:w="70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TRIR, process safety events, audit results, regulatory actions</w:t>
            </w:r>
          </w:p>
        </w:tc>
      </w:tr>
      <w:tr>
        <w:tc>
          <w:tcPr>
            <w:tcW w:type="dxa" w:w="30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EcoVadis Corrective Action Plan (43 gaps)</w:t>
            </w:r>
          </w:p>
        </w:tc>
        <w:tc>
          <w:tcPr>
            <w:tcW w:type="dxa" w:w="70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Documentation gaps across Environmental, Labor &amp; HR, Ethics, Sustainable Procurement themes</w:t>
            </w:r>
          </w:p>
        </w:tc>
      </w:tr>
      <w:tr>
        <w:tc>
          <w:tcPr>
            <w:tcW w:type="dxa" w:w="30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Anti-Corruption Risk Assessment (Jan 2026)</w:t>
            </w:r>
          </w:p>
        </w:tc>
        <w:tc>
          <w:tcPr>
            <w:tcW w:type="dxa" w:w="70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19 risks, 19 controls, 17 remediation actions across 5 business activity categories</w:t>
            </w:r>
          </w:p>
        </w:tc>
      </w:tr>
      <w:tr>
        <w:tc>
          <w:tcPr>
            <w:tcW w:type="dxa" w:w="30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Supplier Assessment and Analysis ESG</w:t>
            </w:r>
          </w:p>
        </w:tc>
        <w:tc>
          <w:tcPr>
            <w:tcW w:type="dxa" w:w="70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ESG supplier questionnaire coverage, risk tiering, REACH compliance</w:t>
            </w:r>
          </w:p>
        </w:tc>
      </w:tr>
      <w:tr>
        <w:tc>
          <w:tcPr>
            <w:tcW w:type="dxa" w:w="30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All Training All Employees Record</w:t>
            </w:r>
          </w:p>
        </w:tc>
        <w:tc>
          <w:tcPr>
            <w:tcW w:type="dxa" w:w="70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Training hours, EHS and compliance training coverage</w:t>
            </w:r>
          </w:p>
        </w:tc>
      </w:tr>
      <w:tr>
        <w:tc>
          <w:tcPr>
            <w:tcW w:type="dxa" w:w="30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Human Rights Policy, Living Wage Assessment, Freedom of Association Policy (2025–2026)</w:t>
            </w:r>
          </w:p>
        </w:tc>
        <w:tc>
          <w:tcPr>
            <w:tcW w:type="dxa" w:w="70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Formalization of Labor &amp; Human Rights program commitments</w:t>
            </w:r>
          </w:p>
        </w:tc>
      </w:tr>
    </w:tbl>
    <w:p>
      <w:pPr>
        <w:spacing w:after="0" w:before="120"/>
      </w:pPr>
    </w:p>
    <w:p>
      <w:pPr>
        <w:spacing w:after="80" w:before="80"/>
      </w:pPr>
      <w:r>
        <w:rPr>
          <w:rFonts w:ascii="Century Gothic" w:cs="Century Gothic" w:eastAsia="Century Gothic" w:hAnsi="Century Gothic"/>
          <w:color w:val="161617"/>
          <w:sz w:val="20"/>
          <w:szCs w:val="20"/>
        </w:rPr>
        <w:t xml:space="preserve">Note: A formal re-survey of internal and external stakeholders has not been conducted since 2022. Section 6 identifies this as a priority gap. Original interview findings and benchmark data from 2022 have been carried forward where no updated equivalent is available.</w:t>
      </w:r>
    </w:p>
    <w:p>
      <w:r>
        <w:br w:type="page"/>
      </w:r>
    </w:p>
    <w:p>
      <w:pPr>
        <w:pStyle w:val="Heading1"/>
        <w:spacing w:after="160" w:before="320"/>
      </w:pPr>
      <w:r>
        <w:rPr>
          <w:rFonts w:ascii="Century Gothic" w:cs="Century Gothic" w:eastAsia="Century Gothic" w:hAnsi="Century Gothic"/>
          <w:b/>
          <w:bCs/>
          <w:color w:val="008264"/>
          <w:sz w:val="32"/>
          <w:szCs w:val="32"/>
        </w:rPr>
        <w:t xml:space="preserve">2. Updated SWOT Analysis</w:t>
      </w:r>
    </w:p>
    <w:p>
      <w:pPr>
        <w:spacing w:after="80" w:before="80"/>
      </w:pPr>
      <w:r>
        <w:rPr>
          <w:rFonts w:ascii="Century Gothic" w:cs="Century Gothic" w:eastAsia="Century Gothic" w:hAnsi="Century Gothic"/>
          <w:color w:val="161617"/>
          <w:sz w:val="20"/>
          <w:szCs w:val="20"/>
        </w:rPr>
        <w:t xml:space="preserve">The 2022 SWOT has been revised to reflect Vantage's materially changed ESG position as of 2026. Text in italics represents new or substantially updated elements from the original assessment.</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shd w:fill="008264" w:val="clear"/>
            <w:tcMar>
              <w:top w:type="dxa" w:w="80"/>
              <w:left w:type="dxa" w:w="160"/>
              <w:bottom w:type="dxa" w:w="80"/>
              <w:right w:type="dxa" w:w="160"/>
            </w:tcMar>
          </w:tcPr>
          <w:p>
            <w:pPr>
              <w:spacing w:after="80" w:before="0"/>
            </w:pPr>
            <w:r>
              <w:rPr>
                <w:rFonts w:ascii="Century Gothic" w:cs="Century Gothic" w:eastAsia="Century Gothic" w:hAnsi="Century Gothic"/>
                <w:b/>
                <w:bCs/>
                <w:color w:val="FFFFFF"/>
                <w:sz w:val="22"/>
                <w:szCs w:val="22"/>
              </w:rPr>
              <w:t xml:space="preserve">STRENGTHS</w:t>
            </w:r>
          </w:p>
          <w:p>
            <w:pPr>
              <w:spacing w:after="40" w:before="40"/>
            </w:pPr>
            <w:r>
              <w:rPr>
                <w:rFonts w:ascii="Century Gothic" w:cs="Century Gothic" w:eastAsia="Century Gothic" w:hAnsi="Century Gothic"/>
                <w:color w:val="FFFFFF"/>
                <w:sz w:val="18"/>
                <w:szCs w:val="18"/>
              </w:rPr>
              <w:t xml:space="preserve">• &gt;80% bio-based product portfolio — authentic natural chemistry story</w:t>
            </w:r>
          </w:p>
          <w:p>
            <w:pPr>
              <w:spacing w:after="40" w:before="40"/>
            </w:pPr>
            <w:r>
              <w:rPr>
                <w:rFonts w:ascii="Century Gothic" w:cs="Century Gothic" w:eastAsia="Century Gothic" w:hAnsi="Century Gothic"/>
                <w:color w:val="FFFFFF"/>
                <w:sz w:val="18"/>
                <w:szCs w:val="18"/>
              </w:rPr>
              <w:t xml:space="preserve">• Industry-leading safety record (TRIR 0.7–0.8 vs. chemical industry avg. 1.8)</w:t>
            </w:r>
          </w:p>
          <w:p>
            <w:pPr>
              <w:spacing w:after="40" w:before="40"/>
            </w:pPr>
            <w:r>
              <w:rPr>
                <w:rFonts w:ascii="Century Gothic" w:cs="Century Gothic" w:eastAsia="Century Gothic" w:hAnsi="Century Gothic"/>
                <w:color w:val="FFFFFF"/>
                <w:sz w:val="18"/>
                <w:szCs w:val="18"/>
              </w:rPr>
              <w:t xml:space="preserve">• Vertically integrated jojoba supply chain (traceability 'From Farm to Formulation™')</w:t>
            </w:r>
          </w:p>
          <w:p>
            <w:pPr>
              <w:spacing w:after="40" w:before="40"/>
            </w:pPr>
            <w:r>
              <w:rPr>
                <w:rFonts w:ascii="Century Gothic" w:cs="Century Gothic" w:eastAsia="Century Gothic" w:hAnsi="Century Gothic"/>
                <w:i/>
                <w:iCs/>
                <w:color w:val="FFFFFF"/>
                <w:sz w:val="18"/>
                <w:szCs w:val="18"/>
              </w:rPr>
              <w:t xml:space="preserve">• 23% Scope 1+2 GHG reduction since 2021; 20% water withdrawal reduction</w:t>
            </w:r>
          </w:p>
          <w:p>
            <w:pPr>
              <w:spacing w:after="40" w:before="40"/>
            </w:pPr>
            <w:r>
              <w:rPr>
                <w:rFonts w:ascii="Century Gothic" w:cs="Century Gothic" w:eastAsia="Century Gothic" w:hAnsi="Century Gothic"/>
                <w:i/>
                <w:iCs/>
                <w:color w:val="FFFFFF"/>
                <w:sz w:val="18"/>
                <w:szCs w:val="18"/>
              </w:rPr>
              <w:t xml:space="preserve">• ESG Steering Committee with CEO and Board oversight (TCFD-aligned)</w:t>
            </w:r>
          </w:p>
          <w:p>
            <w:pPr>
              <w:spacing w:after="40" w:before="40"/>
            </w:pPr>
            <w:r>
              <w:rPr>
                <w:rFonts w:ascii="Century Gothic" w:cs="Century Gothic" w:eastAsia="Century Gothic" w:hAnsi="Century Gothic"/>
                <w:i/>
                <w:iCs/>
                <w:color w:val="FFFFFF"/>
                <w:sz w:val="18"/>
                <w:szCs w:val="18"/>
              </w:rPr>
              <w:t xml:space="preserve">• Comprehensive anti-corruption, human rights, and living wage programs formalized</w:t>
            </w:r>
          </w:p>
          <w:p>
            <w:pPr>
              <w:spacing w:after="40" w:before="40"/>
            </w:pPr>
            <w:r>
              <w:rPr>
                <w:rFonts w:ascii="Century Gothic" w:cs="Century Gothic" w:eastAsia="Century Gothic" w:hAnsi="Century Gothic"/>
                <w:i/>
                <w:iCs/>
                <w:color w:val="FFFFFF"/>
                <w:sz w:val="18"/>
                <w:szCs w:val="18"/>
              </w:rPr>
              <w:t xml:space="preserve">• Multiple product innovation awards (in-cosmetics Gold, Alle Awards, IBIE)</w:t>
            </w:r>
          </w:p>
        </w:tc>
        <w:tc>
          <w:tcPr>
            <w:tcW w:type="dxa" w:w="5040"/>
            <w:shd w:fill="C0392B" w:val="clear"/>
            <w:tcMar>
              <w:top w:type="dxa" w:w="80"/>
              <w:left w:type="dxa" w:w="160"/>
              <w:bottom w:type="dxa" w:w="80"/>
              <w:right w:type="dxa" w:w="160"/>
            </w:tcMar>
          </w:tcPr>
          <w:p>
            <w:pPr>
              <w:spacing w:after="80" w:before="0"/>
            </w:pPr>
            <w:r>
              <w:rPr>
                <w:rFonts w:ascii="Century Gothic" w:cs="Century Gothic" w:eastAsia="Century Gothic" w:hAnsi="Century Gothic"/>
                <w:b/>
                <w:bCs/>
                <w:color w:val="FFFFFF"/>
                <w:sz w:val="22"/>
                <w:szCs w:val="22"/>
              </w:rPr>
              <w:t xml:space="preserve">WEAKNESSES</w:t>
            </w:r>
          </w:p>
          <w:p>
            <w:pPr>
              <w:spacing w:after="40" w:before="40"/>
            </w:pPr>
            <w:r>
              <w:rPr>
                <w:rFonts w:ascii="Century Gothic" w:cs="Century Gothic" w:eastAsia="Century Gothic" w:hAnsi="Century Gothic"/>
                <w:color w:val="FFFFFF"/>
                <w:sz w:val="18"/>
                <w:szCs w:val="18"/>
              </w:rPr>
              <w:t xml:space="preserve">• No formal GHG reduction targets set (SBTi or equivalent)</w:t>
            </w:r>
          </w:p>
          <w:p>
            <w:pPr>
              <w:spacing w:after="40" w:before="40"/>
            </w:pPr>
            <w:r>
              <w:rPr>
                <w:rFonts w:ascii="Century Gothic" w:cs="Century Gothic" w:eastAsia="Century Gothic" w:hAnsi="Century Gothic"/>
                <w:i/>
                <w:iCs/>
                <w:color w:val="FFFFFF"/>
                <w:sz w:val="18"/>
                <w:szCs w:val="18"/>
              </w:rPr>
              <w:t xml:space="preserve">• EcoVadis score at Bronze (83rd percentile); Silver not yet achieved</w:t>
            </w:r>
          </w:p>
          <w:p>
            <w:pPr>
              <w:spacing w:after="40" w:before="40"/>
            </w:pPr>
            <w:r>
              <w:rPr>
                <w:rFonts w:ascii="Century Gothic" w:cs="Century Gothic" w:eastAsia="Century Gothic" w:hAnsi="Century Gothic"/>
                <w:i/>
                <w:iCs/>
                <w:color w:val="FFFFFF"/>
                <w:sz w:val="18"/>
                <w:szCs w:val="18"/>
              </w:rPr>
              <w:t xml:space="preserve">• Renewable energy sourced minimal (478 MWh vs. 435,264 MWh total consumed)</w:t>
            </w:r>
          </w:p>
          <w:p>
            <w:pPr>
              <w:spacing w:after="40" w:before="40"/>
            </w:pPr>
            <w:r>
              <w:rPr>
                <w:rFonts w:ascii="Century Gothic" w:cs="Century Gothic" w:eastAsia="Century Gothic" w:hAnsi="Century Gothic"/>
                <w:color w:val="FFFFFF"/>
                <w:sz w:val="18"/>
                <w:szCs w:val="18"/>
              </w:rPr>
              <w:t xml:space="preserve">• DEI programming and metric tracking still nascent; no published diversity data</w:t>
            </w:r>
          </w:p>
          <w:p>
            <w:pPr>
              <w:spacing w:after="40" w:before="40"/>
            </w:pPr>
            <w:r>
              <w:rPr>
                <w:rFonts w:ascii="Century Gothic" w:cs="Century Gothic" w:eastAsia="Century Gothic" w:hAnsi="Century Gothic"/>
                <w:i/>
                <w:iCs/>
                <w:color w:val="FFFFFF"/>
                <w:sz w:val="18"/>
                <w:szCs w:val="18"/>
              </w:rPr>
              <w:t xml:space="preserve">• Stakeholder materiality survey not refreshed since 2022</w:t>
            </w:r>
          </w:p>
          <w:p>
            <w:pPr>
              <w:spacing w:after="40" w:before="40"/>
            </w:pPr>
            <w:r>
              <w:rPr>
                <w:rFonts w:ascii="Century Gothic" w:cs="Century Gothic" w:eastAsia="Century Gothic" w:hAnsi="Century Gothic"/>
                <w:i/>
                <w:iCs/>
                <w:color w:val="FFFFFF"/>
                <w:sz w:val="18"/>
                <w:szCs w:val="18"/>
              </w:rPr>
              <w:t xml:space="preserve">• Operational compliance issues at Chicago site (MWRD enforcement actions)</w:t>
            </w:r>
          </w:p>
          <w:p>
            <w:pPr>
              <w:spacing w:after="40" w:before="40"/>
            </w:pPr>
            <w:r>
              <w:rPr>
                <w:rFonts w:ascii="Century Gothic" w:cs="Century Gothic" w:eastAsia="Century Gothic" w:hAnsi="Century Gothic"/>
                <w:color w:val="FFFFFF"/>
                <w:sz w:val="18"/>
                <w:szCs w:val="18"/>
              </w:rPr>
              <w:t xml:space="preserve">• Limited external ESG communications — Sustainability Overview only in first edition</w:t>
            </w:r>
          </w:p>
        </w:tc>
      </w:tr>
      <w:tr>
        <w:tc>
          <w:tcPr>
            <w:tcW w:type="dxa" w:w="5040"/>
            <w:shd w:fill="1A7A5E" w:val="clear"/>
            <w:tcMar>
              <w:top w:type="dxa" w:w="80"/>
              <w:left w:type="dxa" w:w="160"/>
              <w:bottom w:type="dxa" w:w="80"/>
              <w:right w:type="dxa" w:w="160"/>
            </w:tcMar>
          </w:tcPr>
          <w:p>
            <w:pPr>
              <w:spacing w:after="80" w:before="0"/>
            </w:pPr>
            <w:r>
              <w:rPr>
                <w:rFonts w:ascii="Century Gothic" w:cs="Century Gothic" w:eastAsia="Century Gothic" w:hAnsi="Century Gothic"/>
                <w:b/>
                <w:bCs/>
                <w:color w:val="FFFFFF"/>
                <w:sz w:val="22"/>
                <w:szCs w:val="22"/>
              </w:rPr>
              <w:t xml:space="preserve">OPPORTUNITIES</w:t>
            </w:r>
          </w:p>
          <w:p>
            <w:pPr>
              <w:spacing w:after="40" w:before="40"/>
            </w:pPr>
            <w:r>
              <w:rPr>
                <w:rFonts w:ascii="Century Gothic" w:cs="Century Gothic" w:eastAsia="Century Gothic" w:hAnsi="Century Gothic"/>
                <w:color w:val="FFFFFF"/>
                <w:sz w:val="18"/>
                <w:szCs w:val="18"/>
              </w:rPr>
              <w:t xml:space="preserve">• Set SBTi-aligned reduction targets to meet customer Scope 3 expectations (L'Oréal, Unilever)</w:t>
            </w:r>
          </w:p>
          <w:p>
            <w:pPr>
              <w:spacing w:after="40" w:before="40"/>
            </w:pPr>
            <w:r>
              <w:rPr>
                <w:rFonts w:ascii="Century Gothic" w:cs="Century Gothic" w:eastAsia="Century Gothic" w:hAnsi="Century Gothic"/>
                <w:i/>
                <w:iCs/>
                <w:color w:val="FFFFFF"/>
                <w:sz w:val="18"/>
                <w:szCs w:val="18"/>
              </w:rPr>
              <w:t xml:space="preserve">• Scale renewable energy sourcing (solar + PPAs) to rapidly reduce Scope 2</w:t>
            </w:r>
          </w:p>
          <w:p>
            <w:pPr>
              <w:spacing w:after="40" w:before="40"/>
            </w:pPr>
            <w:r>
              <w:rPr>
                <w:rFonts w:ascii="Century Gothic" w:cs="Century Gothic" w:eastAsia="Century Gothic" w:hAnsi="Century Gothic"/>
                <w:i/>
                <w:iCs/>
                <w:color w:val="FFFFFF"/>
                <w:sz w:val="18"/>
                <w:szCs w:val="18"/>
              </w:rPr>
              <w:t xml:space="preserve">• Leverage EUDR and supply chain traceability demand as competitive advantage</w:t>
            </w:r>
          </w:p>
          <w:p>
            <w:pPr>
              <w:spacing w:after="40" w:before="40"/>
            </w:pPr>
            <w:r>
              <w:rPr>
                <w:rFonts w:ascii="Century Gothic" w:cs="Century Gothic" w:eastAsia="Century Gothic" w:hAnsi="Century Gothic"/>
                <w:i/>
                <w:iCs/>
                <w:color w:val="FFFFFF"/>
                <w:sz w:val="18"/>
                <w:szCs w:val="18"/>
              </w:rPr>
              <w:t xml:space="preserve">• Advance EcoVadis from Bronze to Silver/Gold to unlock premium customer opportunities</w:t>
            </w:r>
          </w:p>
          <w:p>
            <w:pPr>
              <w:spacing w:after="40" w:before="40"/>
            </w:pPr>
            <w:r>
              <w:rPr>
                <w:rFonts w:ascii="Century Gothic" w:cs="Century Gothic" w:eastAsia="Century Gothic" w:hAnsi="Century Gothic"/>
                <w:color w:val="FFFFFF"/>
                <w:sz w:val="18"/>
                <w:szCs w:val="18"/>
              </w:rPr>
              <w:t xml:space="preserve">• Publish formal ESG/Sustainability Report to strengthen brand differentiation</w:t>
            </w:r>
          </w:p>
          <w:p>
            <w:pPr>
              <w:spacing w:after="40" w:before="40"/>
            </w:pPr>
            <w:r>
              <w:rPr>
                <w:rFonts w:ascii="Century Gothic" w:cs="Century Gothic" w:eastAsia="Century Gothic" w:hAnsi="Century Gothic"/>
                <w:color w:val="FFFFFF"/>
                <w:sz w:val="18"/>
                <w:szCs w:val="18"/>
              </w:rPr>
              <w:t xml:space="preserve">• Grow certified product portfolio (Fair for Life, RSPO, organic) as ESG-linked revenue stream</w:t>
            </w:r>
          </w:p>
        </w:tc>
        <w:tc>
          <w:tcPr>
            <w:tcW w:type="dxa" w:w="5040"/>
            <w:shd w:fill="E8A000" w:val="clear"/>
            <w:tcMar>
              <w:top w:type="dxa" w:w="80"/>
              <w:left w:type="dxa" w:w="160"/>
              <w:bottom w:type="dxa" w:w="80"/>
              <w:right w:type="dxa" w:w="160"/>
            </w:tcMar>
          </w:tcPr>
          <w:p>
            <w:pPr>
              <w:spacing w:after="80" w:before="0"/>
            </w:pPr>
            <w:r>
              <w:rPr>
                <w:rFonts w:ascii="Century Gothic" w:cs="Century Gothic" w:eastAsia="Century Gothic" w:hAnsi="Century Gothic"/>
                <w:b/>
                <w:bCs/>
                <w:color w:val="FFFFFF"/>
                <w:sz w:val="22"/>
                <w:szCs w:val="22"/>
              </w:rPr>
              <w:t xml:space="preserve">THREATS</w:t>
            </w:r>
          </w:p>
          <w:p>
            <w:pPr>
              <w:spacing w:after="40" w:before="40"/>
            </w:pPr>
            <w:r>
              <w:rPr>
                <w:rFonts w:ascii="Century Gothic" w:cs="Century Gothic" w:eastAsia="Century Gothic" w:hAnsi="Century Gothic"/>
                <w:color w:val="FFFFFF"/>
                <w:sz w:val="18"/>
                <w:szCs w:val="18"/>
              </w:rPr>
              <w:t xml:space="preserve">• Customers (L'Oréal, Unilever) imposing Scope 3 supplier emissions requirements</w:t>
            </w:r>
          </w:p>
          <w:p>
            <w:pPr>
              <w:spacing w:after="40" w:before="40"/>
            </w:pPr>
            <w:r>
              <w:rPr>
                <w:rFonts w:ascii="Century Gothic" w:cs="Century Gothic" w:eastAsia="Century Gothic" w:hAnsi="Century Gothic"/>
                <w:i/>
                <w:iCs/>
                <w:color w:val="FFFFFF"/>
                <w:sz w:val="18"/>
                <w:szCs w:val="18"/>
              </w:rPr>
              <w:t xml:space="preserve">• EU Deforestation Regulation (EUDR) creating significant compliance costs for palm supply chain</w:t>
            </w:r>
          </w:p>
          <w:p>
            <w:pPr>
              <w:spacing w:after="40" w:before="40"/>
            </w:pPr>
            <w:r>
              <w:rPr>
                <w:rFonts w:ascii="Century Gothic" w:cs="Century Gothic" w:eastAsia="Century Gothic" w:hAnsi="Century Gothic"/>
                <w:color w:val="FFFFFF"/>
                <w:sz w:val="18"/>
                <w:szCs w:val="18"/>
              </w:rPr>
              <w:t xml:space="preserve">• Peers (Croda: EcoVadis Platinum, MSCI AAA) continue widening ESG performance gap</w:t>
            </w:r>
          </w:p>
          <w:p>
            <w:pPr>
              <w:spacing w:after="40" w:before="40"/>
            </w:pPr>
            <w:r>
              <w:rPr>
                <w:rFonts w:ascii="Century Gothic" w:cs="Century Gothic" w:eastAsia="Century Gothic" w:hAnsi="Century Gothic"/>
                <w:i/>
                <w:iCs/>
                <w:color w:val="FFFFFF"/>
                <w:sz w:val="18"/>
                <w:szCs w:val="18"/>
              </w:rPr>
              <w:t xml:space="preserve">• Climate physical risks: drought impacts on jojoba operations; flooding at manufacturing sites</w:t>
            </w:r>
          </w:p>
          <w:p>
            <w:pPr>
              <w:spacing w:after="40" w:before="40"/>
            </w:pPr>
            <w:r>
              <w:rPr>
                <w:rFonts w:ascii="Century Gothic" w:cs="Century Gothic" w:eastAsia="Century Gothic" w:hAnsi="Century Gothic"/>
                <w:color w:val="FFFFFF"/>
                <w:sz w:val="18"/>
                <w:szCs w:val="18"/>
              </w:rPr>
              <w:t xml:space="preserve">• Growing customer ESG questionnaire burden; inability to respond competitively without data</w:t>
            </w:r>
          </w:p>
          <w:p>
            <w:pPr>
              <w:spacing w:after="40" w:before="40"/>
            </w:pPr>
            <w:r>
              <w:rPr>
                <w:rFonts w:ascii="Century Gothic" w:cs="Century Gothic" w:eastAsia="Century Gothic" w:hAnsi="Century Gothic"/>
                <w:i/>
                <w:iCs/>
                <w:color w:val="FFFFFF"/>
                <w:sz w:val="18"/>
                <w:szCs w:val="18"/>
              </w:rPr>
              <w:t xml:space="preserve">• Regulatory tightening (air permitting at Chicago; MWRD compliance pressure)</w:t>
            </w:r>
          </w:p>
        </w:tc>
      </w:tr>
    </w:tbl>
    <w:p>
      <w:r>
        <w:br w:type="page"/>
      </w:r>
    </w:p>
    <w:p>
      <w:pPr>
        <w:pStyle w:val="Heading1"/>
        <w:spacing w:after="160" w:before="320"/>
      </w:pPr>
      <w:r>
        <w:rPr>
          <w:rFonts w:ascii="Century Gothic" w:cs="Century Gothic" w:eastAsia="Century Gothic" w:hAnsi="Century Gothic"/>
          <w:b/>
          <w:bCs/>
          <w:color w:val="008264"/>
          <w:sz w:val="32"/>
          <w:szCs w:val="32"/>
        </w:rPr>
        <w:t xml:space="preserve">3. Updated ESG Topic Summary</w:t>
      </w:r>
    </w:p>
    <w:p>
      <w:pPr>
        <w:spacing w:after="80" w:before="80"/>
      </w:pPr>
      <w:r>
        <w:rPr>
          <w:rFonts w:ascii="Century Gothic" w:cs="Century Gothic" w:eastAsia="Century Gothic" w:hAnsi="Century Gothic"/>
          <w:color w:val="161617"/>
          <w:sz w:val="20"/>
          <w:szCs w:val="20"/>
        </w:rPr>
        <w:t xml:space="preserve">The table below shows each of the ten original ESG topics with updated positioning status and the key evidence supporting the change from the 2022 baseline. Status definitions:</w:t>
      </w:r>
    </w:p>
    <w:p>
      <w:pPr>
        <w:pStyle w:val="ListParagraph"/>
        <w:numPr>
          <w:ilvl w:val="0"/>
          <w:numId w:val="2"/>
        </w:numPr>
        <w:spacing w:after="60" w:before="60"/>
      </w:pPr>
      <w:r>
        <w:rPr>
          <w:rFonts w:ascii="Century Gothic" w:cs="Century Gothic" w:eastAsia="Century Gothic" w:hAnsi="Century Gothic"/>
          <w:color w:val="161617"/>
          <w:sz w:val="20"/>
          <w:szCs w:val="20"/>
        </w:rPr>
        <w:t xml:space="preserve">LEADING – Vantage is performing at or above peer/customer benchmarks with documented evidence</w:t>
      </w:r>
    </w:p>
    <w:p>
      <w:pPr>
        <w:pStyle w:val="ListParagraph"/>
        <w:numPr>
          <w:ilvl w:val="0"/>
          <w:numId w:val="2"/>
        </w:numPr>
        <w:spacing w:after="60" w:before="60"/>
      </w:pPr>
      <w:r>
        <w:rPr>
          <w:rFonts w:ascii="Century Gothic" w:cs="Century Gothic" w:eastAsia="Century Gothic" w:hAnsi="Century Gothic"/>
          <w:color w:val="161617"/>
          <w:sz w:val="20"/>
          <w:szCs w:val="20"/>
        </w:rPr>
        <w:t xml:space="preserve">PROGRESSING – Meaningful progress since 2022; documented program in place but not yet at peer standard</w:t>
      </w:r>
    </w:p>
    <w:p>
      <w:pPr>
        <w:pStyle w:val="ListParagraph"/>
        <w:numPr>
          <w:ilvl w:val="0"/>
          <w:numId w:val="2"/>
        </w:numPr>
        <w:spacing w:after="60" w:before="60"/>
      </w:pPr>
      <w:r>
        <w:rPr>
          <w:rFonts w:ascii="Century Gothic" w:cs="Century Gothic" w:eastAsia="Century Gothic" w:hAnsi="Century Gothic"/>
          <w:color w:val="161617"/>
          <w:sz w:val="20"/>
          <w:szCs w:val="20"/>
        </w:rPr>
        <w:t xml:space="preserve">ALIGNED – Vantage is at industry baseline; maintaining pace with peers</w:t>
      </w:r>
    </w:p>
    <w:p>
      <w:pPr>
        <w:pStyle w:val="ListParagraph"/>
        <w:numPr>
          <w:ilvl w:val="0"/>
          <w:numId w:val="2"/>
        </w:numPr>
        <w:spacing w:after="60" w:before="60"/>
      </w:pPr>
      <w:r>
        <w:rPr>
          <w:rFonts w:ascii="Century Gothic" w:cs="Century Gothic" w:eastAsia="Century Gothic" w:hAnsi="Century Gothic"/>
          <w:color w:val="161617"/>
          <w:sz w:val="20"/>
          <w:szCs w:val="20"/>
        </w:rPr>
        <w:t xml:space="preserve">LAGGING – Gap relative to peers and/or customer expectations remains substantial</w:t>
      </w:r>
    </w:p>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000"/>
        <w:gridCol w:w="4480"/>
      </w:tblGrid>
      <w:tr>
        <w:tc>
          <w:tcPr>
            <w:tcW w:type="dxa" w:w="22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ESG Topic</w:t>
            </w:r>
          </w:p>
        </w:tc>
        <w:tc>
          <w:tcPr>
            <w:tcW w:type="dxa" w:w="12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2022 Status vs. Peers</w:t>
            </w:r>
          </w:p>
        </w:tc>
        <w:tc>
          <w:tcPr>
            <w:tcW w:type="dxa" w:w="12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2026 Status vs. Peers</w:t>
            </w:r>
          </w:p>
        </w:tc>
        <w:tc>
          <w:tcPr>
            <w:tcW w:type="dxa" w:w="10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Change</w:t>
            </w:r>
          </w:p>
        </w:tc>
        <w:tc>
          <w:tcPr>
            <w:tcW w:type="dxa" w:w="448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Key Evidence / Updates (2024–2026)</w:t>
            </w:r>
          </w:p>
        </w:tc>
      </w:tr>
      <w:tr>
        <w:tc>
          <w:tcPr>
            <w:tcW w:type="dxa" w:w="22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bCs/>
                <w:color w:val="161617"/>
                <w:sz w:val="18"/>
                <w:szCs w:val="18"/>
              </w:rPr>
              <w:t xml:space="preserve">Climate &amp; GHG Emissions</w:t>
            </w:r>
          </w:p>
        </w:tc>
        <w:tc>
          <w:tcPr>
            <w:tcW w:type="dxa" w:w="1200"/>
            <w:shd w:fill="C0392B"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LAGGING</w:t>
            </w:r>
          </w:p>
        </w:tc>
        <w:tc>
          <w:tcPr>
            <w:tcW w:type="dxa" w:w="1200"/>
            <w:shd w:fill="50B388"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PROGRESSING</w:t>
            </w:r>
          </w:p>
        </w:tc>
        <w:tc>
          <w:tcPr>
            <w:tcW w:type="dxa" w:w="10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 Improved</w:t>
            </w:r>
          </w:p>
        </w:tc>
        <w:tc>
          <w:tcPr>
            <w:tcW w:type="dxa" w:w="44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23% Scope 1+2 reduction since 2021 (82,258 tCO2e in 2024). Scope 3 quantified at 809,437 tCO2e. TCFD framework adopted. Energy efficiency projects at Leuna, Chicago (−800 MT CO2e/yr), Gurnee. No formal targets set yet.</w:t>
            </w:r>
          </w:p>
        </w:tc>
      </w:tr>
      <w:tr>
        <w:tc>
          <w:tcPr>
            <w:tcW w:type="dxa" w:w="22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bCs/>
                <w:color w:val="161617"/>
                <w:sz w:val="18"/>
                <w:szCs w:val="18"/>
              </w:rPr>
              <w:t xml:space="preserve">Non-GHG Emissions</w:t>
            </w:r>
          </w:p>
        </w:tc>
        <w:tc>
          <w:tcPr>
            <w:tcW w:type="dxa" w:w="1200"/>
            <w:shd w:fill="E8A000"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ALIGNED</w:t>
            </w:r>
          </w:p>
        </w:tc>
        <w:tc>
          <w:tcPr>
            <w:tcW w:type="dxa" w:w="1200"/>
            <w:shd w:fill="E8A000"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ALIGNED</w:t>
            </w:r>
          </w:p>
        </w:tc>
        <w:tc>
          <w:tcPr>
            <w:tcW w:type="dxa" w:w="10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 Stable</w:t>
            </w:r>
          </w:p>
        </w:tc>
        <w:tc>
          <w:tcPr>
            <w:tcW w:type="dxa" w:w="44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Compliance maintained. MWRD enforcement action noted at Chicago (pH, glycerin excursions). Air permitting (RTO) actively managed. No quantified non-GHG emissions reporting published.</w:t>
            </w:r>
          </w:p>
        </w:tc>
      </w:tr>
      <w:tr>
        <w:tc>
          <w:tcPr>
            <w:tcW w:type="dxa" w:w="22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bCs/>
                <w:color w:val="161617"/>
                <w:sz w:val="18"/>
                <w:szCs w:val="18"/>
              </w:rPr>
              <w:t xml:space="preserve">Sustainable Product Innovation</w:t>
            </w:r>
          </w:p>
        </w:tc>
        <w:tc>
          <w:tcPr>
            <w:tcW w:type="dxa" w:w="1200"/>
            <w:shd w:fill="C0392B"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LAGGING</w:t>
            </w:r>
          </w:p>
        </w:tc>
        <w:tc>
          <w:tcPr>
            <w:tcW w:type="dxa" w:w="1200"/>
            <w:shd w:fill="50B388"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PROGRESSING</w:t>
            </w:r>
          </w:p>
        </w:tc>
        <w:tc>
          <w:tcPr>
            <w:tcW w:type="dxa" w:w="10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 Improved</w:t>
            </w:r>
          </w:p>
        </w:tc>
        <w:tc>
          <w:tcPr>
            <w:tcW w:type="dxa" w:w="44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&gt;80% bio-based portfolio. Won in-cosmetics Latin America Gold Award (Tucum-HA EF), Alle Awards (METAUPON EZ AMIBIO, Hand Savior, Hydra-Repairing Serum Stick). ESG product database not yet established; no formal R&amp;D ESG targets published.</w:t>
            </w:r>
          </w:p>
        </w:tc>
      </w:tr>
      <w:tr>
        <w:tc>
          <w:tcPr>
            <w:tcW w:type="dxa" w:w="22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bCs/>
                <w:color w:val="161617"/>
                <w:sz w:val="18"/>
                <w:szCs w:val="18"/>
              </w:rPr>
              <w:t xml:space="preserve">Sustainable Sourcing &amp; Traceability</w:t>
            </w:r>
          </w:p>
        </w:tc>
        <w:tc>
          <w:tcPr>
            <w:tcW w:type="dxa" w:w="1200"/>
            <w:shd w:fill="C0392B"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LAGGING</w:t>
            </w:r>
          </w:p>
        </w:tc>
        <w:tc>
          <w:tcPr>
            <w:tcW w:type="dxa" w:w="1200"/>
            <w:shd w:fill="50B388"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PROGRESSING</w:t>
            </w:r>
          </w:p>
        </w:tc>
        <w:tc>
          <w:tcPr>
            <w:tcW w:type="dxa" w:w="10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 Improved</w:t>
            </w:r>
          </w:p>
        </w:tc>
        <w:tc>
          <w:tcPr>
            <w:tcW w:type="dxa" w:w="44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RSPO and Transparency One membership active. ASD disclosure participation. ESG Supplier Questionnaire launched 2024. REACH compliance assessment procedure developed. EUDR compliance underway. Traceability program 'From Farm to Formulation™' in place for jojoba. Broader commodity traceability targets not yet set.</w:t>
            </w:r>
          </w:p>
        </w:tc>
      </w:tr>
      <w:tr>
        <w:tc>
          <w:tcPr>
            <w:tcW w:type="dxa" w:w="22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bCs/>
                <w:color w:val="161617"/>
                <w:sz w:val="18"/>
                <w:szCs w:val="18"/>
              </w:rPr>
              <w:t xml:space="preserve">Employee Wellbeing, Health &amp; Safety</w:t>
            </w:r>
          </w:p>
        </w:tc>
        <w:tc>
          <w:tcPr>
            <w:tcW w:type="dxa" w:w="1200"/>
            <w:shd w:fill="E8A000"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ALIGNED</w:t>
            </w:r>
          </w:p>
        </w:tc>
        <w:tc>
          <w:tcPr>
            <w:tcW w:type="dxa" w:w="1200"/>
            <w:shd w:fill="008264"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LEADING</w:t>
            </w:r>
          </w:p>
        </w:tc>
        <w:tc>
          <w:tcPr>
            <w:tcW w:type="dxa" w:w="10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 Strong</w:t>
            </w:r>
          </w:p>
        </w:tc>
        <w:tc>
          <w:tcPr>
            <w:tcW w:type="dxa" w:w="44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TRIR 0.7 (2024) and 0.8 (2025) vs. chemical industry avg. 1.8 and all-industry avg. 2.7. EHS Baseline Assessments completed at all major sites in 2025. PSM audit completed at Gurnee. Near-miss reporting significantly improved via Intelex rollout. Fair for Life audit passed.</w:t>
            </w:r>
          </w:p>
        </w:tc>
      </w:tr>
      <w:tr>
        <w:tc>
          <w:tcPr>
            <w:tcW w:type="dxa" w:w="22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bCs/>
                <w:color w:val="161617"/>
                <w:sz w:val="18"/>
                <w:szCs w:val="18"/>
              </w:rPr>
              <w:t xml:space="preserve">Diversity, Equity &amp; Inclusion</w:t>
            </w:r>
          </w:p>
        </w:tc>
        <w:tc>
          <w:tcPr>
            <w:tcW w:type="dxa" w:w="1200"/>
            <w:shd w:fill="C0392B"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LAGGING</w:t>
            </w:r>
          </w:p>
        </w:tc>
        <w:tc>
          <w:tcPr>
            <w:tcW w:type="dxa" w:w="1200"/>
            <w:shd w:fill="C0392B"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LAGGING</w:t>
            </w:r>
          </w:p>
        </w:tc>
        <w:tc>
          <w:tcPr>
            <w:tcW w:type="dxa" w:w="10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 Stable</w:t>
            </w:r>
          </w:p>
        </w:tc>
        <w:tc>
          <w:tcPr>
            <w:tcW w:type="dxa" w:w="44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No formal DEI dashboard, targets, or published diversity metrics identified in 2024–2025 data. Career Management &amp; Training Policy formalized. Employee Handbook updated (2025). DEI programming development remains pending.</w:t>
            </w:r>
          </w:p>
        </w:tc>
      </w:tr>
      <w:tr>
        <w:tc>
          <w:tcPr>
            <w:tcW w:type="dxa" w:w="22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bCs/>
                <w:color w:val="161617"/>
                <w:sz w:val="18"/>
                <w:szCs w:val="18"/>
              </w:rPr>
              <w:t xml:space="preserve">Human Rights &amp; Labor</w:t>
            </w:r>
          </w:p>
        </w:tc>
        <w:tc>
          <w:tcPr>
            <w:tcW w:type="dxa" w:w="1200"/>
            <w:shd w:fill="E8A000"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ALIGNED</w:t>
            </w:r>
          </w:p>
        </w:tc>
        <w:tc>
          <w:tcPr>
            <w:tcW w:type="dxa" w:w="1200"/>
            <w:shd w:fill="50B388"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PROGRESSING</w:t>
            </w:r>
          </w:p>
        </w:tc>
        <w:tc>
          <w:tcPr>
            <w:tcW w:type="dxa" w:w="10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 Improved</w:t>
            </w:r>
          </w:p>
        </w:tc>
        <w:tc>
          <w:tcPr>
            <w:tcW w:type="dxa" w:w="44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Human Rights Policy completed. Living Wage Assessment conducted. Social Dialogue &amp; Freedom of Association policy formalized. Supplier Code of Conduct active. EthicsPoint hotline in place. Supplier auditing program not yet fully documented.</w:t>
            </w:r>
          </w:p>
        </w:tc>
      </w:tr>
      <w:tr>
        <w:tc>
          <w:tcPr>
            <w:tcW w:type="dxa" w:w="22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bCs/>
                <w:color w:val="161617"/>
                <w:sz w:val="18"/>
                <w:szCs w:val="18"/>
              </w:rPr>
              <w:t xml:space="preserve">ESG Certifications &amp; Frameworks</w:t>
            </w:r>
          </w:p>
        </w:tc>
        <w:tc>
          <w:tcPr>
            <w:tcW w:type="dxa" w:w="1200"/>
            <w:shd w:fill="C0392B"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LAGGING</w:t>
            </w:r>
          </w:p>
        </w:tc>
        <w:tc>
          <w:tcPr>
            <w:tcW w:type="dxa" w:w="1200"/>
            <w:shd w:fill="50B388"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PROGRESSING</w:t>
            </w:r>
          </w:p>
        </w:tc>
        <w:tc>
          <w:tcPr>
            <w:tcW w:type="dxa" w:w="10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 Improved</w:t>
            </w:r>
          </w:p>
        </w:tc>
        <w:tc>
          <w:tcPr>
            <w:tcW w:type="dxa" w:w="44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EcoVadis Bronze (83rd percentile); Silver target in near term, Gold in 12–18 months. TCFD Index published in Sustainability Overview. CDP participation active. RSPO, Fair for Life, Organic, Halal, Kosher certifications maintained. No MSCI or Sustainalytics rating reported.</w:t>
            </w:r>
          </w:p>
        </w:tc>
      </w:tr>
      <w:tr>
        <w:tc>
          <w:tcPr>
            <w:tcW w:type="dxa" w:w="22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bCs/>
                <w:color w:val="161617"/>
                <w:sz w:val="18"/>
                <w:szCs w:val="18"/>
              </w:rPr>
              <w:t xml:space="preserve">Toxicity &amp; Materials of Concern</w:t>
            </w:r>
          </w:p>
        </w:tc>
        <w:tc>
          <w:tcPr>
            <w:tcW w:type="dxa" w:w="1200"/>
            <w:shd w:fill="E8A000"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ALIGNED</w:t>
            </w:r>
          </w:p>
        </w:tc>
        <w:tc>
          <w:tcPr>
            <w:tcW w:type="dxa" w:w="1200"/>
            <w:shd w:fill="E8A000"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ALIGNED</w:t>
            </w:r>
          </w:p>
        </w:tc>
        <w:tc>
          <w:tcPr>
            <w:tcW w:type="dxa" w:w="10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 Stable</w:t>
            </w:r>
          </w:p>
        </w:tc>
        <w:tc>
          <w:tcPr>
            <w:tcW w:type="dxa" w:w="44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REACH compliance assessment procedure (REG-REACH-001) developed; ESG supplier questionnaire includes three REACH attestation questions. No formal materials hazard program or public hazardous materials inventory published.</w:t>
            </w:r>
          </w:p>
        </w:tc>
      </w:tr>
      <w:tr>
        <w:tc>
          <w:tcPr>
            <w:tcW w:type="dxa" w:w="22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bCs/>
                <w:color w:val="161617"/>
                <w:sz w:val="18"/>
                <w:szCs w:val="18"/>
              </w:rPr>
              <w:t xml:space="preserve">Governance</w:t>
            </w:r>
          </w:p>
        </w:tc>
        <w:tc>
          <w:tcPr>
            <w:tcW w:type="dxa" w:w="1200"/>
            <w:shd w:fill="C0392B"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LAGGING</w:t>
            </w:r>
          </w:p>
        </w:tc>
        <w:tc>
          <w:tcPr>
            <w:tcW w:type="dxa" w:w="1200"/>
            <w:shd w:fill="50B388"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PROGRESSING</w:t>
            </w:r>
          </w:p>
        </w:tc>
        <w:tc>
          <w:tcPr>
            <w:tcW w:type="dxa" w:w="10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 Improved</w:t>
            </w:r>
          </w:p>
        </w:tc>
        <w:tc>
          <w:tcPr>
            <w:tcW w:type="dxa" w:w="44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ESG Steering Committee established with cross-functional executive membership. Governance policies published at vantagegrp.com/governance. Code of Conduct updated May 2024. Anti-corruption risk assessment completed. TCFD disclosure published. GRI/SASB reporting not yet adopted.</w:t>
            </w:r>
          </w:p>
        </w:tc>
      </w:tr>
    </w:tbl>
    <w:p>
      <w:r>
        <w:br w:type="page"/>
      </w:r>
    </w:p>
    <w:p>
      <w:pPr>
        <w:pStyle w:val="Heading1"/>
        <w:spacing w:after="160" w:before="320"/>
      </w:pPr>
      <w:r>
        <w:rPr>
          <w:rFonts w:ascii="Century Gothic" w:cs="Century Gothic" w:eastAsia="Century Gothic" w:hAnsi="Century Gothic"/>
          <w:b/>
          <w:bCs/>
          <w:color w:val="008264"/>
          <w:sz w:val="32"/>
          <w:szCs w:val="32"/>
        </w:rPr>
        <w:t xml:space="preserve">4. Updated ESG Topic Priority Map</w:t>
      </w:r>
    </w:p>
    <w:p>
      <w:pPr>
        <w:spacing w:after="80" w:before="80"/>
      </w:pPr>
      <w:r>
        <w:rPr>
          <w:rFonts w:ascii="Century Gothic" w:cs="Century Gothic" w:eastAsia="Century Gothic" w:hAnsi="Century Gothic"/>
          <w:color w:val="161617"/>
          <w:sz w:val="20"/>
          <w:szCs w:val="20"/>
        </w:rPr>
        <w:t xml:space="preserve">The two-tier priority structure from 2022 is maintained with updated classifications. 'Water' has been elevated from a Core/Enabler category to a formal Monitored Topic given the availability of robust quantitative data and its increasing materiality under climate physical risk scenarios.</w:t>
      </w:r>
    </w:p>
    <w:p>
      <w:pPr>
        <w:spacing w:after="0" w:before="80"/>
      </w:pPr>
    </w:p>
    <w:p>
      <w:pPr>
        <w:pStyle w:val="Heading2"/>
        <w:spacing w:after="120" w:before="240"/>
      </w:pPr>
      <w:r>
        <w:rPr>
          <w:rFonts w:ascii="Century Gothic" w:cs="Century Gothic" w:eastAsia="Century Gothic" w:hAnsi="Century Gothic"/>
          <w:b/>
          <w:bCs/>
          <w:color w:val="008264"/>
          <w:sz w:val="26"/>
          <w:szCs w:val="26"/>
        </w:rPr>
        <w:t xml:space="preserve">4.1  Strategic Priorities (Critical Areas for Business Growth and Competitiveness)</w:t>
      </w:r>
    </w:p>
    <w:p>
      <w:pPr>
        <w:spacing w:after="80" w:before="80"/>
      </w:pPr>
      <w:r>
        <w:rPr>
          <w:rFonts w:ascii="Century Gothic" w:cs="Century Gothic" w:eastAsia="Century Gothic" w:hAnsi="Century Gothic"/>
          <w:color w:val="161617"/>
          <w:sz w:val="20"/>
          <w:szCs w:val="20"/>
        </w:rPr>
        <w:t xml:space="preserve">These topics have detailed program roadmaps, active KPI tracking, and are directly linked to customer expectations and competitive differentiation.</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680"/>
      </w:tblGrid>
      <w:tr>
        <w:tc>
          <w:tcPr>
            <w:tcW w:type="dxa" w:w="24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Strategic Priority Topic</w:t>
            </w:r>
          </w:p>
        </w:tc>
        <w:tc>
          <w:tcPr>
            <w:tcW w:type="dxa" w:w="20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Current Status</w:t>
            </w:r>
          </w:p>
        </w:tc>
        <w:tc>
          <w:tcPr>
            <w:tcW w:type="dxa" w:w="568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2026 Roadmap Focus</w:t>
            </w:r>
          </w:p>
        </w:tc>
      </w:tr>
      <w:tr>
        <w:tc>
          <w:tcPr>
            <w:tcW w:type="dxa" w:w="24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bCs/>
                <w:color w:val="161617"/>
                <w:sz w:val="18"/>
                <w:szCs w:val="18"/>
              </w:rPr>
              <w:t xml:space="preserve">Climate &amp; GHG Emissions</w:t>
            </w:r>
          </w:p>
        </w:tc>
        <w:tc>
          <w:tcPr>
            <w:tcW w:type="dxa" w:w="2000"/>
            <w:shd w:fill="50B388"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PROGRESSING</w:t>
            </w:r>
          </w:p>
        </w:tc>
        <w:tc>
          <w:tcPr>
            <w:tcW w:type="dxa" w:w="56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Set formal GHG reduction targets (SBTi-aligned). Scale renewable energy sourcing. Complete Inventory Improvement Plan. Develop GHG-per-product metrics for customer responses.</w:t>
            </w:r>
          </w:p>
        </w:tc>
      </w:tr>
      <w:tr>
        <w:tc>
          <w:tcPr>
            <w:tcW w:type="dxa" w:w="24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bCs/>
                <w:color w:val="161617"/>
                <w:sz w:val="18"/>
                <w:szCs w:val="18"/>
              </w:rPr>
              <w:t xml:space="preserve">Sustainable Product Innovation</w:t>
            </w:r>
          </w:p>
        </w:tc>
        <w:tc>
          <w:tcPr>
            <w:tcW w:type="dxa" w:w="2000"/>
            <w:shd w:fill="50B388"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PROGRESSING</w:t>
            </w:r>
          </w:p>
        </w:tc>
        <w:tc>
          <w:tcPr>
            <w:tcW w:type="dxa" w:w="56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Establish formal R&amp;D ESG targets (% natural/bio-based new product launches). Build ESG product attribute database. Quantify sustainability benefits of product portfolio.</w:t>
            </w:r>
          </w:p>
        </w:tc>
      </w:tr>
      <w:tr>
        <w:tc>
          <w:tcPr>
            <w:tcW w:type="dxa" w:w="24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bCs/>
                <w:color w:val="161617"/>
                <w:sz w:val="18"/>
                <w:szCs w:val="18"/>
              </w:rPr>
              <w:t xml:space="preserve">Sustainable Sourcing &amp; Traceability</w:t>
            </w:r>
          </w:p>
        </w:tc>
        <w:tc>
          <w:tcPr>
            <w:tcW w:type="dxa" w:w="2000"/>
            <w:shd w:fill="50B388"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PROGRESSING</w:t>
            </w:r>
          </w:p>
        </w:tc>
        <w:tc>
          <w:tcPr>
            <w:tcW w:type="dxa" w:w="56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Expand supplier ESG questionnaire coverage. Achieve EUDR compliance for palm. Set palm, soy, and key commodity traceability targets. Increase EcoVadis-assessed supplier percentage.</w:t>
            </w:r>
          </w:p>
        </w:tc>
      </w:tr>
      <w:tr>
        <w:tc>
          <w:tcPr>
            <w:tcW w:type="dxa" w:w="24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bCs/>
                <w:color w:val="161617"/>
                <w:sz w:val="18"/>
                <w:szCs w:val="18"/>
              </w:rPr>
              <w:t xml:space="preserve">Employee Wellbeing, Health &amp; Safety</w:t>
            </w:r>
          </w:p>
        </w:tc>
        <w:tc>
          <w:tcPr>
            <w:tcW w:type="dxa" w:w="2000"/>
            <w:shd w:fill="008264"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LEADING</w:t>
            </w:r>
          </w:p>
        </w:tc>
        <w:tc>
          <w:tcPr>
            <w:tcW w:type="dxa" w:w="56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Sustain industry-leading TRIR. Remediate Chicago compliance issues. Complete mechanical integrity improvements from PSM audit. Roll out wellbeing/wellness programs.</w:t>
            </w:r>
          </w:p>
        </w:tc>
      </w:tr>
      <w:tr>
        <w:tc>
          <w:tcPr>
            <w:tcW w:type="dxa" w:w="24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bCs/>
                <w:color w:val="161617"/>
                <w:sz w:val="18"/>
                <w:szCs w:val="18"/>
              </w:rPr>
              <w:t xml:space="preserve">Diversity, Equity &amp; Inclusion</w:t>
            </w:r>
          </w:p>
        </w:tc>
        <w:tc>
          <w:tcPr>
            <w:tcW w:type="dxa" w:w="2000"/>
            <w:shd w:fill="C0392B"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LAGGING</w:t>
            </w:r>
          </w:p>
        </w:tc>
        <w:tc>
          <w:tcPr>
            <w:tcW w:type="dxa" w:w="56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Establish baseline DEI metrics (gender, ethnicity by level). Set representation targets. Develop formal DEI program with HR. Publish first DEI KPIs in external communications.</w:t>
            </w:r>
          </w:p>
        </w:tc>
      </w:tr>
      <w:tr>
        <w:tc>
          <w:tcPr>
            <w:tcW w:type="dxa" w:w="24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bCs/>
                <w:color w:val="161617"/>
                <w:sz w:val="18"/>
                <w:szCs w:val="18"/>
              </w:rPr>
              <w:t xml:space="preserve">ESG Certifications &amp; Frameworks</w:t>
            </w:r>
          </w:p>
        </w:tc>
        <w:tc>
          <w:tcPr>
            <w:tcW w:type="dxa" w:w="2000"/>
            <w:shd w:fill="50B388"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PROGRESSING</w:t>
            </w:r>
          </w:p>
        </w:tc>
        <w:tc>
          <w:tcPr>
            <w:tcW w:type="dxa" w:w="56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Advance EcoVadis from Bronze to Silver (near-term) and Gold (12–18 months). Evaluate GRI/SASB adoption for annual ESG reporting. Pursue CDP score improvement.</w:t>
            </w:r>
          </w:p>
        </w:tc>
      </w:tr>
    </w:tbl>
    <w:p>
      <w:pPr>
        <w:spacing w:after="0" w:before="160"/>
      </w:pPr>
    </w:p>
    <w:p>
      <w:pPr>
        <w:pStyle w:val="Heading2"/>
        <w:spacing w:after="120" w:before="240"/>
      </w:pPr>
      <w:r>
        <w:rPr>
          <w:rFonts w:ascii="Century Gothic" w:cs="Century Gothic" w:eastAsia="Century Gothic" w:hAnsi="Century Gothic"/>
          <w:b/>
          <w:bCs/>
          <w:color w:val="008264"/>
          <w:sz w:val="26"/>
          <w:szCs w:val="26"/>
        </w:rPr>
        <w:t xml:space="preserve">4.2  Monitored Topics (License to Operate and Emerging Priorities)</w:t>
      </w:r>
    </w:p>
    <w:p>
      <w:pPr>
        <w:spacing w:after="80" w:before="80"/>
      </w:pPr>
      <w:r>
        <w:rPr>
          <w:rFonts w:ascii="Century Gothic" w:cs="Century Gothic" w:eastAsia="Century Gothic" w:hAnsi="Century Gothic"/>
          <w:color w:val="161617"/>
          <w:sz w:val="20"/>
          <w:szCs w:val="20"/>
        </w:rPr>
        <w:t xml:space="preserve">These topics require ongoing attention, baseline performance tracking, and selective communications, but do not currently warrant full strategic roadmaps.</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680"/>
      </w:tblGrid>
      <w:tr>
        <w:tc>
          <w:tcPr>
            <w:tcW w:type="dxa" w:w="24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Monitored Topic</w:t>
            </w:r>
          </w:p>
        </w:tc>
        <w:tc>
          <w:tcPr>
            <w:tcW w:type="dxa" w:w="20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Current Status</w:t>
            </w:r>
          </w:p>
        </w:tc>
        <w:tc>
          <w:tcPr>
            <w:tcW w:type="dxa" w:w="568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Monitoring Focus</w:t>
            </w:r>
          </w:p>
        </w:tc>
      </w:tr>
      <w:tr>
        <w:tc>
          <w:tcPr>
            <w:tcW w:type="dxa" w:w="24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bCs/>
                <w:color w:val="161617"/>
                <w:sz w:val="18"/>
                <w:szCs w:val="18"/>
              </w:rPr>
              <w:t xml:space="preserve">Non-GHG Emissions</w:t>
            </w:r>
          </w:p>
        </w:tc>
        <w:tc>
          <w:tcPr>
            <w:tcW w:type="dxa" w:w="2000"/>
            <w:shd w:fill="E8A000"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ALIGNED</w:t>
            </w:r>
          </w:p>
        </w:tc>
        <w:tc>
          <w:tcPr>
            <w:tcW w:type="dxa" w:w="56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Monitor regulatory compliance across all sites. Resolve Chicago air permitting (RTO). Quantify and begin reporting VOC, NOx, SOx data.</w:t>
            </w:r>
          </w:p>
        </w:tc>
      </w:tr>
      <w:tr>
        <w:tc>
          <w:tcPr>
            <w:tcW w:type="dxa" w:w="24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bCs/>
                <w:color w:val="161617"/>
                <w:sz w:val="18"/>
                <w:szCs w:val="18"/>
              </w:rPr>
              <w:t xml:space="preserve">Human Rights &amp; Labor</w:t>
            </w:r>
          </w:p>
        </w:tc>
        <w:tc>
          <w:tcPr>
            <w:tcW w:type="dxa" w:w="2000"/>
            <w:shd w:fill="50B388"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PROGRESSING</w:t>
            </w:r>
          </w:p>
        </w:tc>
        <w:tc>
          <w:tcPr>
            <w:tcW w:type="dxa" w:w="56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Formalize supplier audit program. Update Supplier Code of Conduct engagement. Track living wage compliance annually. Align with ILO standards.</w:t>
            </w:r>
          </w:p>
        </w:tc>
      </w:tr>
      <w:tr>
        <w:tc>
          <w:tcPr>
            <w:tcW w:type="dxa" w:w="24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bCs/>
                <w:color w:val="161617"/>
                <w:sz w:val="18"/>
                <w:szCs w:val="18"/>
              </w:rPr>
              <w:t xml:space="preserve">Toxicity &amp; Materials of Concern</w:t>
            </w:r>
          </w:p>
        </w:tc>
        <w:tc>
          <w:tcPr>
            <w:tcW w:type="dxa" w:w="2000"/>
            <w:shd w:fill="E8A000"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ALIGNED</w:t>
            </w:r>
          </w:p>
        </w:tc>
        <w:tc>
          <w:tcPr>
            <w:tcW w:type="dxa" w:w="56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Maintain REACH compliance. Operationalize REG-REACH-001 procedure. Track materials of high concern (SVHC). Develop customer-facing materials transparency tools over time.</w:t>
            </w:r>
          </w:p>
        </w:tc>
      </w:tr>
      <w:tr>
        <w:tc>
          <w:tcPr>
            <w:tcW w:type="dxa" w:w="24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bCs/>
                <w:color w:val="161617"/>
                <w:sz w:val="18"/>
                <w:szCs w:val="18"/>
              </w:rPr>
              <w:t xml:space="preserve">Governance</w:t>
            </w:r>
          </w:p>
        </w:tc>
        <w:tc>
          <w:tcPr>
            <w:tcW w:type="dxa" w:w="2000"/>
            <w:shd w:fill="50B388"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PROGRESSING</w:t>
            </w:r>
          </w:p>
        </w:tc>
        <w:tc>
          <w:tcPr>
            <w:tcW w:type="dxa" w:w="56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Publish first formal ESG/Sustainability Report. Adopt GRI or SASB framework. Continue Board-level ESG oversight cadence. Maintain Ethics reporting infrastructure.</w:t>
            </w:r>
          </w:p>
        </w:tc>
      </w:tr>
      <w:tr>
        <w:tc>
          <w:tcPr>
            <w:tcW w:type="dxa" w:w="24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bCs/>
                <w:color w:val="161617"/>
                <w:sz w:val="18"/>
                <w:szCs w:val="18"/>
              </w:rPr>
              <w:t xml:space="preserve">Water (NEW — elevated from Core/Enabler)</w:t>
            </w:r>
          </w:p>
        </w:tc>
        <w:tc>
          <w:tcPr>
            <w:tcW w:type="dxa" w:w="2000"/>
            <w:shd w:fill="50B388"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PROGRESSING</w:t>
            </w:r>
          </w:p>
        </w:tc>
        <w:tc>
          <w:tcPr>
            <w:tcW w:type="dxa" w:w="56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Sustain 20% water withdrawal reduction trajectory. Expand drip irrigation at Dateland. Report site-level water data through CDP. Assess water stress risk at all manufacturing locations.</w:t>
            </w:r>
          </w:p>
        </w:tc>
      </w:tr>
    </w:tbl>
    <w:p>
      <w:r>
        <w:br w:type="page"/>
      </w:r>
    </w:p>
    <w:p>
      <w:pPr>
        <w:pStyle w:val="Heading1"/>
        <w:spacing w:after="160" w:before="320"/>
      </w:pPr>
      <w:r>
        <w:rPr>
          <w:rFonts w:ascii="Century Gothic" w:cs="Century Gothic" w:eastAsia="Century Gothic" w:hAnsi="Century Gothic"/>
          <w:b/>
          <w:bCs/>
          <w:color w:val="008264"/>
          <w:sz w:val="32"/>
          <w:szCs w:val="32"/>
        </w:rPr>
        <w:t xml:space="preserve">5. Updated Sustainability Vision and Framework</w:t>
      </w:r>
    </w:p>
    <w:p>
      <w:pPr>
        <w:spacing w:after="80" w:before="80"/>
      </w:pPr>
      <w:r>
        <w:rPr>
          <w:rFonts w:ascii="Century Gothic" w:cs="Century Gothic" w:eastAsia="Century Gothic" w:hAnsi="Century Gothic"/>
          <w:color w:val="161617"/>
          <w:sz w:val="20"/>
          <w:szCs w:val="20"/>
        </w:rPr>
        <w:t xml:space="preserve">The 2022 workshop defined a draft vision of 'A trusted supplier of...' organized around three pillars. By 2026, Vantage has operationalized this vision with a published framework and public-facing positioning.</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08264" w:val="clear"/>
            <w:tcMar>
              <w:top w:type="dxa" w:w="120"/>
              <w:left w:type="dxa" w:w="240"/>
              <w:bottom w:type="dxa" w:w="120"/>
              <w:right w:type="dxa" w:w="240"/>
            </w:tcMar>
          </w:tcPr>
          <w:p>
            <w:pPr>
              <w:spacing w:after="40" w:before="0"/>
              <w:jc w:val="center"/>
            </w:pPr>
            <w:r>
              <w:rPr>
                <w:rFonts w:ascii="Century Gothic" w:cs="Century Gothic" w:eastAsia="Century Gothic" w:hAnsi="Century Gothic"/>
                <w:b/>
                <w:bCs/>
                <w:caps/>
                <w:color w:val="FFFFFF"/>
                <w:sz w:val="20"/>
                <w:szCs w:val="20"/>
              </w:rPr>
              <w:t xml:space="preserve">VANTAGE SUSTAINABILITY VISION</w:t>
            </w:r>
          </w:p>
          <w:p>
            <w:pPr>
              <w:spacing w:after="0" w:before="0"/>
              <w:jc w:val="center"/>
            </w:pPr>
            <w:r>
              <w:rPr>
                <w:rFonts w:ascii="Century Gothic" w:cs="Century Gothic" w:eastAsia="Century Gothic" w:hAnsi="Century Gothic"/>
                <w:b/>
                <w:bCs/>
                <w:i/>
                <w:iCs/>
                <w:color w:val="FFFFFF"/>
                <w:sz w:val="26"/>
                <w:szCs w:val="26"/>
              </w:rPr>
              <w:t xml:space="preserve">"Partnering for Performance, Powered by Purpose"</w:t>
            </w:r>
          </w:p>
        </w:tc>
      </w:tr>
    </w:tbl>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  RESILIENT SUPPLY</w:t>
            </w:r>
          </w:p>
        </w:tc>
        <w:tc>
          <w:tcPr>
            <w:tcW w:type="dxa" w:w="336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  RESPONSIBLE OPERATIONS</w:t>
            </w:r>
          </w:p>
        </w:tc>
        <w:tc>
          <w:tcPr>
            <w:tcW w:type="dxa" w:w="336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  RELIABLE PARTNER</w:t>
            </w:r>
          </w:p>
        </w:tc>
      </w:tr>
      <w:tr>
        <w:tc>
          <w:tcPr>
            <w:tcW w:type="dxa" w:w="3360"/>
            <w:shd w:fill="E6F4F1" w:val="clear"/>
            <w:tcMar>
              <w:top w:type="dxa" w:w="100"/>
              <w:left w:type="dxa" w:w="160"/>
              <w:bottom w:type="dxa" w:w="100"/>
              <w:right w:type="dxa" w:w="160"/>
            </w:tcMar>
          </w:tcPr>
          <w:p>
            <w:pPr>
              <w:spacing w:after="40" w:before="40"/>
            </w:pPr>
            <w:r>
              <w:rPr>
                <w:rFonts w:ascii="Century Gothic" w:cs="Century Gothic" w:eastAsia="Century Gothic" w:hAnsi="Century Gothic"/>
                <w:b/>
                <w:bCs/>
                <w:color w:val="161617"/>
                <w:sz w:val="18"/>
                <w:szCs w:val="18"/>
              </w:rPr>
              <w:t xml:space="preserve">Responsible Sourcing &amp; Traceability</w:t>
            </w:r>
          </w:p>
          <w:p>
            <w:pPr>
              <w:spacing w:after="40" w:before="40"/>
            </w:pPr>
            <w:r>
              <w:rPr>
                <w:rFonts w:ascii="Century Gothic" w:cs="Century Gothic" w:eastAsia="Century Gothic" w:hAnsi="Century Gothic"/>
                <w:b/>
                <w:bCs/>
                <w:color w:val="161617"/>
                <w:sz w:val="18"/>
                <w:szCs w:val="18"/>
              </w:rPr>
              <w:t xml:space="preserve">Sustainable Chemistry Solutions</w:t>
            </w:r>
          </w:p>
          <w:p>
            <w:pPr>
              <w:spacing w:after="40" w:before="40"/>
            </w:pPr>
            <w:r>
              <w:rPr>
                <w:rFonts w:ascii="Century Gothic" w:cs="Century Gothic" w:eastAsia="Century Gothic" w:hAnsi="Century Gothic"/>
                <w:b/>
                <w:bCs/>
                <w:color w:val="161617"/>
                <w:sz w:val="18"/>
                <w:szCs w:val="18"/>
              </w:rPr>
              <w:t xml:space="preserve">Circular / Bio-based Feedstocks</w:t>
            </w:r>
          </w:p>
          <w:p>
            <w:pPr>
              <w:spacing w:after="0" w:before="60"/>
            </w:pPr>
            <w:r>
              <w:rPr>
                <w:rFonts w:ascii="Century Gothic" w:cs="Century Gothic" w:eastAsia="Century Gothic" w:hAnsi="Century Gothic"/>
                <w:b/>
                <w:bCs/>
                <w:color w:val="008264"/>
                <w:sz w:val="17"/>
                <w:szCs w:val="17"/>
              </w:rPr>
              <w:t xml:space="preserve">2026 Highlights:</w:t>
            </w:r>
          </w:p>
          <w:p>
            <w:pPr>
              <w:spacing w:after="20" w:before="20"/>
            </w:pPr>
            <w:r>
              <w:rPr>
                <w:rFonts w:ascii="Century Gothic" w:cs="Century Gothic" w:eastAsia="Century Gothic" w:hAnsi="Century Gothic"/>
                <w:color w:val="161617"/>
                <w:sz w:val="17"/>
                <w:szCs w:val="17"/>
              </w:rPr>
              <w:t xml:space="preserve">&gt;80% bio-based portfolio; RSPO &amp; Transparency One member; EUDR compliance in progress; ESG Supplier Questionnaire launched</w:t>
            </w:r>
          </w:p>
        </w:tc>
        <w:tc>
          <w:tcPr>
            <w:tcW w:type="dxa" w:w="3360"/>
            <w:shd w:fill="E6F4F1" w:val="clear"/>
            <w:tcMar>
              <w:top w:type="dxa" w:w="100"/>
              <w:left w:type="dxa" w:w="160"/>
              <w:bottom w:type="dxa" w:w="100"/>
              <w:right w:type="dxa" w:w="160"/>
            </w:tcMar>
          </w:tcPr>
          <w:p>
            <w:pPr>
              <w:spacing w:after="40" w:before="40"/>
            </w:pPr>
            <w:r>
              <w:rPr>
                <w:rFonts w:ascii="Century Gothic" w:cs="Century Gothic" w:eastAsia="Century Gothic" w:hAnsi="Century Gothic"/>
                <w:b/>
                <w:bCs/>
                <w:color w:val="161617"/>
                <w:sz w:val="18"/>
                <w:szCs w:val="18"/>
              </w:rPr>
              <w:t xml:space="preserve">Climate &amp; GHG Emissions</w:t>
            </w:r>
          </w:p>
          <w:p>
            <w:pPr>
              <w:spacing w:after="40" w:before="40"/>
            </w:pPr>
            <w:r>
              <w:rPr>
                <w:rFonts w:ascii="Century Gothic" w:cs="Century Gothic" w:eastAsia="Century Gothic" w:hAnsi="Century Gothic"/>
                <w:b/>
                <w:bCs/>
                <w:color w:val="161617"/>
                <w:sz w:val="18"/>
                <w:szCs w:val="18"/>
              </w:rPr>
              <w:t xml:space="preserve">Water Stewardship</w:t>
            </w:r>
          </w:p>
          <w:p>
            <w:pPr>
              <w:spacing w:after="40" w:before="40"/>
            </w:pPr>
            <w:r>
              <w:rPr>
                <w:rFonts w:ascii="Century Gothic" w:cs="Century Gothic" w:eastAsia="Century Gothic" w:hAnsi="Century Gothic"/>
                <w:b/>
                <w:bCs/>
                <w:color w:val="161617"/>
                <w:sz w:val="18"/>
                <w:szCs w:val="18"/>
              </w:rPr>
              <w:t xml:space="preserve">Non-GHG Emissions / Product Safety</w:t>
            </w:r>
          </w:p>
          <w:p>
            <w:pPr>
              <w:spacing w:after="40" w:before="40"/>
            </w:pPr>
            <w:r>
              <w:rPr>
                <w:rFonts w:ascii="Century Gothic" w:cs="Century Gothic" w:eastAsia="Century Gothic" w:hAnsi="Century Gothic"/>
                <w:b/>
                <w:bCs/>
                <w:color w:val="161617"/>
                <w:sz w:val="18"/>
                <w:szCs w:val="18"/>
              </w:rPr>
              <w:t xml:space="preserve">Safety &amp; Wellbeing of Our People</w:t>
            </w:r>
          </w:p>
          <w:p>
            <w:pPr>
              <w:spacing w:after="0" w:before="60"/>
            </w:pPr>
            <w:r>
              <w:rPr>
                <w:rFonts w:ascii="Century Gothic" w:cs="Century Gothic" w:eastAsia="Century Gothic" w:hAnsi="Century Gothic"/>
                <w:b/>
                <w:bCs/>
                <w:color w:val="008264"/>
                <w:sz w:val="17"/>
                <w:szCs w:val="17"/>
              </w:rPr>
              <w:t xml:space="preserve">2026 Highlights:</w:t>
            </w:r>
          </w:p>
          <w:p>
            <w:pPr>
              <w:spacing w:after="20" w:before="20"/>
            </w:pPr>
            <w:r>
              <w:rPr>
                <w:rFonts w:ascii="Century Gothic" w:cs="Century Gothic" w:eastAsia="Century Gothic" w:hAnsi="Century Gothic"/>
                <w:color w:val="161617"/>
                <w:sz w:val="17"/>
                <w:szCs w:val="17"/>
              </w:rPr>
              <w:t xml:space="preserve">23% GHG reduction, 20% water reduction since 2021; TRIR 0.7 (industry-leading); TCFD index published; site EHS baseline assessments completed</w:t>
            </w:r>
          </w:p>
        </w:tc>
        <w:tc>
          <w:tcPr>
            <w:tcW w:type="dxa" w:w="3360"/>
            <w:shd w:fill="E6F4F1" w:val="clear"/>
            <w:tcMar>
              <w:top w:type="dxa" w:w="100"/>
              <w:left w:type="dxa" w:w="160"/>
              <w:bottom w:type="dxa" w:w="100"/>
              <w:right w:type="dxa" w:w="160"/>
            </w:tcMar>
          </w:tcPr>
          <w:p>
            <w:pPr>
              <w:spacing w:after="40" w:before="40"/>
            </w:pPr>
            <w:r>
              <w:rPr>
                <w:rFonts w:ascii="Century Gothic" w:cs="Century Gothic" w:eastAsia="Century Gothic" w:hAnsi="Century Gothic"/>
                <w:b/>
                <w:bCs/>
                <w:color w:val="161617"/>
                <w:sz w:val="18"/>
                <w:szCs w:val="18"/>
              </w:rPr>
              <w:t xml:space="preserve">Diversity, Equity &amp; Inclusion</w:t>
            </w:r>
          </w:p>
          <w:p>
            <w:pPr>
              <w:spacing w:after="40" w:before="40"/>
            </w:pPr>
            <w:r>
              <w:rPr>
                <w:rFonts w:ascii="Century Gothic" w:cs="Century Gothic" w:eastAsia="Century Gothic" w:hAnsi="Century Gothic"/>
                <w:b/>
                <w:bCs/>
                <w:color w:val="161617"/>
                <w:sz w:val="18"/>
                <w:szCs w:val="18"/>
              </w:rPr>
              <w:t xml:space="preserve">Human Rights &amp; Labor</w:t>
            </w:r>
          </w:p>
          <w:p>
            <w:pPr>
              <w:spacing w:after="40" w:before="40"/>
            </w:pPr>
            <w:r>
              <w:rPr>
                <w:rFonts w:ascii="Century Gothic" w:cs="Century Gothic" w:eastAsia="Century Gothic" w:hAnsi="Century Gothic"/>
                <w:b/>
                <w:bCs/>
                <w:color w:val="161617"/>
                <w:sz w:val="18"/>
                <w:szCs w:val="18"/>
              </w:rPr>
              <w:t xml:space="preserve">Governance &amp; Ethics</w:t>
            </w:r>
          </w:p>
          <w:p>
            <w:pPr>
              <w:spacing w:after="40" w:before="40"/>
            </w:pPr>
            <w:r>
              <w:rPr>
                <w:rFonts w:ascii="Century Gothic" w:cs="Century Gothic" w:eastAsia="Century Gothic" w:hAnsi="Century Gothic"/>
                <w:b/>
                <w:bCs/>
                <w:color w:val="161617"/>
                <w:sz w:val="18"/>
                <w:szCs w:val="18"/>
              </w:rPr>
              <w:t xml:space="preserve">ESG Certifications &amp; Transparent Reporting</w:t>
            </w:r>
          </w:p>
          <w:p>
            <w:pPr>
              <w:spacing w:after="0" w:before="60"/>
            </w:pPr>
            <w:r>
              <w:rPr>
                <w:rFonts w:ascii="Century Gothic" w:cs="Century Gothic" w:eastAsia="Century Gothic" w:hAnsi="Century Gothic"/>
                <w:b/>
                <w:bCs/>
                <w:color w:val="008264"/>
                <w:sz w:val="17"/>
                <w:szCs w:val="17"/>
              </w:rPr>
              <w:t xml:space="preserve">2026 Highlights:</w:t>
            </w:r>
          </w:p>
          <w:p>
            <w:pPr>
              <w:spacing w:after="20" w:before="20"/>
            </w:pPr>
            <w:r>
              <w:rPr>
                <w:rFonts w:ascii="Century Gothic" w:cs="Century Gothic" w:eastAsia="Century Gothic" w:hAnsi="Century Gothic"/>
                <w:color w:val="161617"/>
                <w:sz w:val="17"/>
                <w:szCs w:val="17"/>
              </w:rPr>
              <w:t xml:space="preserve">Human Rights Policy, Living Wage &amp; FoA policies; Anti-Corruption Risk Assessment; Code of Conduct updated; EcoVadis Bronze (targeting Gold); TCFD-aligned reporting</w:t>
            </w:r>
          </w:p>
        </w:tc>
      </w:tr>
    </w:tbl>
    <w:p>
      <w:r>
        <w:br w:type="page"/>
      </w:r>
    </w:p>
    <w:p>
      <w:pPr>
        <w:pStyle w:val="Heading1"/>
        <w:spacing w:after="160" w:before="320"/>
      </w:pPr>
      <w:r>
        <w:rPr>
          <w:rFonts w:ascii="Century Gothic" w:cs="Century Gothic" w:eastAsia="Century Gothic" w:hAnsi="Century Gothic"/>
          <w:b/>
          <w:bCs/>
          <w:color w:val="008264"/>
          <w:sz w:val="32"/>
          <w:szCs w:val="32"/>
        </w:rPr>
        <w:t xml:space="preserve">6. Data Gaps and Information Needed to Strengthen the Assessment</w:t>
      </w:r>
    </w:p>
    <w:p>
      <w:pPr>
        <w:spacing w:after="80" w:before="80"/>
      </w:pPr>
      <w:r>
        <w:rPr>
          <w:rFonts w:ascii="Century Gothic" w:cs="Century Gothic" w:eastAsia="Century Gothic" w:hAnsi="Century Gothic"/>
          <w:color w:val="161617"/>
          <w:sz w:val="20"/>
          <w:szCs w:val="20"/>
        </w:rPr>
        <w:t xml:space="preserve">The following table identifies key data gaps that, if addressed, would materially improve the completeness and credibility of the materiality assessment and Vantage's EcoVadis and broader ESG positioning. Priorities are rated High / Medium / Low based on urgency and impact.</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4080"/>
        <w:gridCol w:w="900"/>
        <w:gridCol w:w="1600"/>
      </w:tblGrid>
      <w:tr>
        <w:tc>
          <w:tcPr>
            <w:tcW w:type="dxa" w:w="9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Priority</w:t>
            </w:r>
          </w:p>
        </w:tc>
        <w:tc>
          <w:tcPr>
            <w:tcW w:type="dxa" w:w="26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Data / Information Gap</w:t>
            </w:r>
          </w:p>
        </w:tc>
        <w:tc>
          <w:tcPr>
            <w:tcW w:type="dxa" w:w="408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Why It Matters</w:t>
            </w:r>
          </w:p>
        </w:tc>
        <w:tc>
          <w:tcPr>
            <w:tcW w:type="dxa" w:w="9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Priority</w:t>
            </w:r>
          </w:p>
        </w:tc>
        <w:tc>
          <w:tcPr>
            <w:tcW w:type="dxa" w:w="16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Owner (Suggested)</w:t>
            </w:r>
          </w:p>
        </w:tc>
      </w:tr>
      <w:tr>
        <w:tc>
          <w:tcPr>
            <w:tcW w:type="dxa" w:w="900"/>
            <w:shd w:fill="C0392B"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HIGH</w:t>
            </w:r>
          </w:p>
        </w:tc>
        <w:tc>
          <w:tcPr>
            <w:tcW w:type="dxa" w:w="26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Updated internal + external stakeholder materiality survey</w:t>
            </w:r>
          </w:p>
        </w:tc>
        <w:tc>
          <w:tcPr>
            <w:tcW w:type="dxa" w:w="40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Original survey is from 2022; customer and peer ESG expectations have evolved substantially. Required for credible double-materiality claims under CSRD and EcoVadis.</w:t>
            </w:r>
          </w:p>
        </w:tc>
        <w:tc>
          <w:tcPr>
            <w:tcW w:type="dxa" w:w="900"/>
            <w:shd w:fill="C0392B"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HIGH</w:t>
            </w:r>
          </w:p>
        </w:tc>
        <w:tc>
          <w:tcPr>
            <w:tcW w:type="dxa" w:w="16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Dan DiZio / Anthesis</w:t>
            </w:r>
          </w:p>
        </w:tc>
      </w:tr>
      <w:tr>
        <w:tc>
          <w:tcPr>
            <w:tcW w:type="dxa" w:w="900"/>
            <w:shd w:fill="C0392B"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HIGH</w:t>
            </w:r>
          </w:p>
        </w:tc>
        <w:tc>
          <w:tcPr>
            <w:tcW w:type="dxa" w:w="26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Formal GHG reduction targets (SBTi or equivalent)</w:t>
            </w:r>
          </w:p>
        </w:tc>
        <w:tc>
          <w:tcPr>
            <w:tcW w:type="dxa" w:w="40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Top-tier customers (L'Oréal, Unilever) require supplier emissions targets. Required for EcoVadis Gold; critical for CDP score improvement.</w:t>
            </w:r>
          </w:p>
        </w:tc>
        <w:tc>
          <w:tcPr>
            <w:tcW w:type="dxa" w:w="900"/>
            <w:shd w:fill="C0392B"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HIGH</w:t>
            </w:r>
          </w:p>
        </w:tc>
        <w:tc>
          <w:tcPr>
            <w:tcW w:type="dxa" w:w="16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Ryan Robotham / Operations</w:t>
            </w:r>
          </w:p>
        </w:tc>
      </w:tr>
      <w:tr>
        <w:tc>
          <w:tcPr>
            <w:tcW w:type="dxa" w:w="900"/>
            <w:shd w:fill="C0392B"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HIGH</w:t>
            </w:r>
          </w:p>
        </w:tc>
        <w:tc>
          <w:tcPr>
            <w:tcW w:type="dxa" w:w="26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DEI baseline metrics (gender, ethnicity, leadership representation)</w:t>
            </w:r>
          </w:p>
        </w:tc>
        <w:tc>
          <w:tcPr>
            <w:tcW w:type="dxa" w:w="40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Remains the most significant lagging area vs. peers and customers. Absence of data makes progress measurement and external reporting impossible.</w:t>
            </w:r>
          </w:p>
        </w:tc>
        <w:tc>
          <w:tcPr>
            <w:tcW w:type="dxa" w:w="900"/>
            <w:shd w:fill="C0392B"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HIGH</w:t>
            </w:r>
          </w:p>
        </w:tc>
        <w:tc>
          <w:tcPr>
            <w:tcW w:type="dxa" w:w="16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Wendy Gallego / HR</w:t>
            </w:r>
          </w:p>
        </w:tc>
      </w:tr>
      <w:tr>
        <w:tc>
          <w:tcPr>
            <w:tcW w:type="dxa" w:w="900"/>
            <w:shd w:fill="C0392B"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HIGH</w:t>
            </w:r>
          </w:p>
        </w:tc>
        <w:tc>
          <w:tcPr>
            <w:tcW w:type="dxa" w:w="26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Workforce demographics: headcount, turnover, new hires by region, age, tenure</w:t>
            </w:r>
          </w:p>
        </w:tc>
        <w:tc>
          <w:tcPr>
            <w:tcW w:type="dxa" w:w="40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Required for EcoVadis Labor &amp; HR scoring. Supports DEI program baseline. Needed for GRI 401/405 disclosure.</w:t>
            </w:r>
          </w:p>
        </w:tc>
        <w:tc>
          <w:tcPr>
            <w:tcW w:type="dxa" w:w="900"/>
            <w:shd w:fill="C0392B"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HIGH</w:t>
            </w:r>
          </w:p>
        </w:tc>
        <w:tc>
          <w:tcPr>
            <w:tcW w:type="dxa" w:w="16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Wendy Gallego / HRIS</w:t>
            </w:r>
          </w:p>
        </w:tc>
      </w:tr>
      <w:tr>
        <w:tc>
          <w:tcPr>
            <w:tcW w:type="dxa" w:w="900"/>
            <w:shd w:fill="C0392B"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HIGH</w:t>
            </w:r>
          </w:p>
        </w:tc>
        <w:tc>
          <w:tcPr>
            <w:tcW w:type="dxa" w:w="26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Training hours per employee by category (EHS, ethics, sustainability, professional development)</w:t>
            </w:r>
          </w:p>
        </w:tc>
        <w:tc>
          <w:tcPr>
            <w:tcW w:type="dxa" w:w="40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Required for EcoVadis Labor score. Key metric for Career Development policy credibility.</w:t>
            </w:r>
          </w:p>
        </w:tc>
        <w:tc>
          <w:tcPr>
            <w:tcW w:type="dxa" w:w="900"/>
            <w:shd w:fill="C0392B"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HIGH</w:t>
            </w:r>
          </w:p>
        </w:tc>
        <w:tc>
          <w:tcPr>
            <w:tcW w:type="dxa" w:w="16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Wendy Gallego / HRIS</w:t>
            </w:r>
          </w:p>
        </w:tc>
      </w:tr>
      <w:tr>
        <w:tc>
          <w:tcPr>
            <w:tcW w:type="dxa" w:w="900"/>
            <w:shd w:fill="E8A000"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MED</w:t>
            </w:r>
          </w:p>
        </w:tc>
        <w:tc>
          <w:tcPr>
            <w:tcW w:type="dxa" w:w="26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Renewable energy sourcing plan and consumption data by site</w:t>
            </w:r>
          </w:p>
        </w:tc>
        <w:tc>
          <w:tcPr>
            <w:tcW w:type="dxa" w:w="40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Renewable energy is 478 MWh vs. 435,264 MWh total — &lt;0.1%. Significant gap vs. peers (Croda RE100 member). Required for EcoVadis Environmental score.</w:t>
            </w:r>
          </w:p>
        </w:tc>
        <w:tc>
          <w:tcPr>
            <w:tcW w:type="dxa" w:w="900"/>
            <w:shd w:fill="E8A000"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MED</w:t>
            </w:r>
          </w:p>
        </w:tc>
        <w:tc>
          <w:tcPr>
            <w:tcW w:type="dxa" w:w="16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Ryan Robotham / Procurement</w:t>
            </w:r>
          </w:p>
        </w:tc>
      </w:tr>
      <w:tr>
        <w:tc>
          <w:tcPr>
            <w:tcW w:type="dxa" w:w="900"/>
            <w:shd w:fill="E8A000"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MED</w:t>
            </w:r>
          </w:p>
        </w:tc>
        <w:tc>
          <w:tcPr>
            <w:tcW w:type="dxa" w:w="26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Supplier ESG assessment coverage rate (% of spend, % of strategic suppliers assessed)</w:t>
            </w:r>
          </w:p>
        </w:tc>
        <w:tc>
          <w:tcPr>
            <w:tcW w:type="dxa" w:w="40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EcoVadis Sustainable Procurement score requires &gt;50% of spend covered. Current coverage not fully documented.</w:t>
            </w:r>
          </w:p>
        </w:tc>
        <w:tc>
          <w:tcPr>
            <w:tcW w:type="dxa" w:w="900"/>
            <w:shd w:fill="E8A000"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MED</w:t>
            </w:r>
          </w:p>
        </w:tc>
        <w:tc>
          <w:tcPr>
            <w:tcW w:type="dxa" w:w="16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David Ruck / Procurement</w:t>
            </w:r>
          </w:p>
        </w:tc>
      </w:tr>
      <w:tr>
        <w:tc>
          <w:tcPr>
            <w:tcW w:type="dxa" w:w="900"/>
            <w:shd w:fill="E8A000"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MED</w:t>
            </w:r>
          </w:p>
        </w:tc>
        <w:tc>
          <w:tcPr>
            <w:tcW w:type="dxa" w:w="26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Waste generation and diversion data (by site, by type)</w:t>
            </w:r>
          </w:p>
        </w:tc>
        <w:tc>
          <w:tcPr>
            <w:tcW w:type="dxa" w:w="40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Not included in current KPI reporting suite. Required for complete environmental baseline and EcoVadis Environmental evidence.</w:t>
            </w:r>
          </w:p>
        </w:tc>
        <w:tc>
          <w:tcPr>
            <w:tcW w:type="dxa" w:w="900"/>
            <w:shd w:fill="E8A000"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MED</w:t>
            </w:r>
          </w:p>
        </w:tc>
        <w:tc>
          <w:tcPr>
            <w:tcW w:type="dxa" w:w="16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Ryan Robotham / EHS</w:t>
            </w:r>
          </w:p>
        </w:tc>
      </w:tr>
      <w:tr>
        <w:tc>
          <w:tcPr>
            <w:tcW w:type="dxa" w:w="900"/>
            <w:shd w:fill="E8A000"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MED</w:t>
            </w:r>
          </w:p>
        </w:tc>
        <w:tc>
          <w:tcPr>
            <w:tcW w:type="dxa" w:w="26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Non-GHG emissions data (NOx, SOx, VOC, PM by site)</w:t>
            </w:r>
          </w:p>
        </w:tc>
        <w:tc>
          <w:tcPr>
            <w:tcW w:type="dxa" w:w="40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Clariant and peers report on these metrics. Regulatory actions at Chicago make this a material disclosure gap.</w:t>
            </w:r>
          </w:p>
        </w:tc>
        <w:tc>
          <w:tcPr>
            <w:tcW w:type="dxa" w:w="900"/>
            <w:shd w:fill="E8A000"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MED</w:t>
            </w:r>
          </w:p>
        </w:tc>
        <w:tc>
          <w:tcPr>
            <w:tcW w:type="dxa" w:w="16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Ryan Robotham / EHS</w:t>
            </w:r>
          </w:p>
        </w:tc>
      </w:tr>
      <w:tr>
        <w:tc>
          <w:tcPr>
            <w:tcW w:type="dxa" w:w="900"/>
            <w:shd w:fill="E8A000"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MED</w:t>
            </w:r>
          </w:p>
        </w:tc>
        <w:tc>
          <w:tcPr>
            <w:tcW w:type="dxa" w:w="26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R&amp;D ESG targets (% of product launches that are bio-based or certified)</w:t>
            </w:r>
          </w:p>
        </w:tc>
        <w:tc>
          <w:tcPr>
            <w:tcW w:type="dxa" w:w="40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Required to back up Sustainable Product Innovation strategic priority with measurable progress. Ashland has a 100% natural/nature-derived target by 2025.</w:t>
            </w:r>
          </w:p>
        </w:tc>
        <w:tc>
          <w:tcPr>
            <w:tcW w:type="dxa" w:w="900"/>
            <w:shd w:fill="E8A000"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MED</w:t>
            </w:r>
          </w:p>
        </w:tc>
        <w:tc>
          <w:tcPr>
            <w:tcW w:type="dxa" w:w="16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R&amp;D / CTO</w:t>
            </w:r>
          </w:p>
        </w:tc>
      </w:tr>
      <w:tr>
        <w:tc>
          <w:tcPr>
            <w:tcW w:type="dxa" w:w="900"/>
            <w:shd w:fill="E8A000"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MED</w:t>
            </w:r>
          </w:p>
        </w:tc>
        <w:tc>
          <w:tcPr>
            <w:tcW w:type="dxa" w:w="26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Community investment / social impact data (spend, volunteer hours, partnerships)</w:t>
            </w:r>
          </w:p>
        </w:tc>
        <w:tc>
          <w:tcPr>
            <w:tcW w:type="dxa" w:w="40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Relevant to EcoVadis Community Involvement sub-criterion. Enables differentiated stakeholder communications.</w:t>
            </w:r>
          </w:p>
        </w:tc>
        <w:tc>
          <w:tcPr>
            <w:tcW w:type="dxa" w:w="900"/>
            <w:shd w:fill="E8A000"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MED</w:t>
            </w:r>
          </w:p>
        </w:tc>
        <w:tc>
          <w:tcPr>
            <w:tcW w:type="dxa" w:w="16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Corporate Affairs</w:t>
            </w:r>
          </w:p>
        </w:tc>
      </w:tr>
      <w:tr>
        <w:tc>
          <w:tcPr>
            <w:tcW w:type="dxa" w:w="900"/>
            <w:shd w:fill="1A7A5E"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LOW</w:t>
            </w:r>
          </w:p>
        </w:tc>
        <w:tc>
          <w:tcPr>
            <w:tcW w:type="dxa" w:w="26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MSCI or Sustainalytics ESG rating</w:t>
            </w:r>
          </w:p>
        </w:tc>
        <w:tc>
          <w:tcPr>
            <w:tcW w:type="dxa" w:w="40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Peers (Croda MSCI AAA, Clariant MSCI AA) use these ratings for investor and customer benchmarking.</w:t>
            </w:r>
          </w:p>
        </w:tc>
        <w:tc>
          <w:tcPr>
            <w:tcW w:type="dxa" w:w="900"/>
            <w:shd w:fill="1A7A5E"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LOW</w:t>
            </w:r>
          </w:p>
        </w:tc>
        <w:tc>
          <w:tcPr>
            <w:tcW w:type="dxa" w:w="16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Dan DiZio / Corp Affairs</w:t>
            </w:r>
          </w:p>
        </w:tc>
      </w:tr>
      <w:tr>
        <w:tc>
          <w:tcPr>
            <w:tcW w:type="dxa" w:w="900"/>
            <w:shd w:fill="1A7A5E"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LOW</w:t>
            </w:r>
          </w:p>
        </w:tc>
        <w:tc>
          <w:tcPr>
            <w:tcW w:type="dxa" w:w="26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GRI or SASB standards index for annual ESG report</w:t>
            </w:r>
          </w:p>
        </w:tc>
        <w:tc>
          <w:tcPr>
            <w:tcW w:type="dxa" w:w="40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Customers and investors increasingly expect structured ESG reporting. Required to advance to EcoVadis Gold tier over time.</w:t>
            </w:r>
          </w:p>
        </w:tc>
        <w:tc>
          <w:tcPr>
            <w:tcW w:type="dxa" w:w="900"/>
            <w:shd w:fill="1A7A5E"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LOW</w:t>
            </w:r>
          </w:p>
        </w:tc>
        <w:tc>
          <w:tcPr>
            <w:tcW w:type="dxa" w:w="16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Dan DiZio / Corp Affairs</w:t>
            </w:r>
          </w:p>
        </w:tc>
      </w:tr>
    </w:tbl>
    <w:p>
      <w:r>
        <w:br w:type="page"/>
      </w:r>
    </w:p>
    <w:p>
      <w:pPr>
        <w:pStyle w:val="Heading1"/>
        <w:spacing w:after="160" w:before="320"/>
      </w:pPr>
      <w:r>
        <w:rPr>
          <w:rFonts w:ascii="Century Gothic" w:cs="Century Gothic" w:eastAsia="Century Gothic" w:hAnsi="Century Gothic"/>
          <w:b/>
          <w:bCs/>
          <w:color w:val="008264"/>
          <w:sz w:val="32"/>
          <w:szCs w:val="32"/>
        </w:rPr>
        <w:t xml:space="preserve">7. Key ESG Performance Data (FY2024–2025)</w:t>
      </w:r>
    </w:p>
    <w:p>
      <w:pPr>
        <w:spacing w:after="80" w:before="80"/>
      </w:pPr>
      <w:r>
        <w:rPr>
          <w:rFonts w:ascii="Century Gothic" w:cs="Century Gothic" w:eastAsia="Century Gothic" w:hAnsi="Century Gothic"/>
          <w:color w:val="161617"/>
          <w:sz w:val="20"/>
          <w:szCs w:val="20"/>
        </w:rPr>
        <w:t xml:space="preserve">This section consolidates quantitative ESG data available as of early 2026. Data in italics are targets or noted gaps pending confirmation.</w:t>
      </w:r>
    </w:p>
    <w:p>
      <w:pPr>
        <w:spacing w:after="0" w:before="80"/>
      </w:pPr>
    </w:p>
    <w:p>
      <w:pPr>
        <w:pStyle w:val="Heading2"/>
        <w:spacing w:after="120" w:before="240"/>
      </w:pPr>
      <w:r>
        <w:rPr>
          <w:rFonts w:ascii="Century Gothic" w:cs="Century Gothic" w:eastAsia="Century Gothic" w:hAnsi="Century Gothic"/>
          <w:b/>
          <w:bCs/>
          <w:color w:val="008264"/>
          <w:sz w:val="26"/>
          <w:szCs w:val="26"/>
        </w:rPr>
        <w:t xml:space="preserve">7.1  Environmental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gridCol w:w="1580"/>
      </w:tblGrid>
      <w:tr>
        <w:tc>
          <w:tcPr>
            <w:tcW w:type="dxa" w:w="35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Metric</w:t>
            </w:r>
          </w:p>
        </w:tc>
        <w:tc>
          <w:tcPr>
            <w:tcW w:type="dxa" w:w="25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2021 Baseline</w:t>
            </w:r>
          </w:p>
        </w:tc>
        <w:tc>
          <w:tcPr>
            <w:tcW w:type="dxa" w:w="25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2024 Performance</w:t>
            </w:r>
          </w:p>
        </w:tc>
        <w:tc>
          <w:tcPr>
            <w:tcW w:type="dxa" w:w="158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Change</w:t>
            </w:r>
          </w:p>
        </w:tc>
      </w:tr>
      <w:tr>
        <w:tc>
          <w:tcPr>
            <w:tcW w:type="dxa" w:w="3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Scope 1 GHG Emissions (MT CO2e)</w:t>
            </w:r>
          </w:p>
        </w:tc>
        <w:tc>
          <w:tcPr>
            <w:tcW w:type="dxa" w:w="2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~91,000 (est.)</w:t>
            </w:r>
          </w:p>
        </w:tc>
        <w:tc>
          <w:tcPr>
            <w:tcW w:type="dxa" w:w="2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59,695</w:t>
            </w:r>
          </w:p>
        </w:tc>
        <w:tc>
          <w:tcPr>
            <w:tcW w:type="dxa" w:w="15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~34% ↓</w:t>
            </w:r>
          </w:p>
        </w:tc>
      </w:tr>
      <w:tr>
        <w:tc>
          <w:tcPr>
            <w:tcW w:type="dxa" w:w="35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Scope 2 GHG Emissions (MT CO2e)</w:t>
            </w:r>
          </w:p>
        </w:tc>
        <w:tc>
          <w:tcPr>
            <w:tcW w:type="dxa" w:w="25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~16,000 (est.)</w:t>
            </w:r>
          </w:p>
        </w:tc>
        <w:tc>
          <w:tcPr>
            <w:tcW w:type="dxa" w:w="25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22,563</w:t>
            </w:r>
          </w:p>
        </w:tc>
        <w:tc>
          <w:tcPr>
            <w:tcW w:type="dxa" w:w="15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n/a</w:t>
            </w:r>
          </w:p>
        </w:tc>
      </w:tr>
      <w:tr>
        <w:tc>
          <w:tcPr>
            <w:tcW w:type="dxa" w:w="3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Scope 1+2 Combined (MT CO2e)</w:t>
            </w:r>
          </w:p>
        </w:tc>
        <w:tc>
          <w:tcPr>
            <w:tcW w:type="dxa" w:w="2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107,249</w:t>
            </w:r>
          </w:p>
        </w:tc>
        <w:tc>
          <w:tcPr>
            <w:tcW w:type="dxa" w:w="2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82,258</w:t>
            </w:r>
          </w:p>
        </w:tc>
        <w:tc>
          <w:tcPr>
            <w:tcW w:type="dxa" w:w="15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23% ↓</w:t>
            </w:r>
          </w:p>
        </w:tc>
      </w:tr>
      <w:tr>
        <w:tc>
          <w:tcPr>
            <w:tcW w:type="dxa" w:w="35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Scope 3 GHG Emissions (MT CO2e)</w:t>
            </w:r>
          </w:p>
        </w:tc>
        <w:tc>
          <w:tcPr>
            <w:tcW w:type="dxa" w:w="25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w:t>
            </w:r>
          </w:p>
        </w:tc>
        <w:tc>
          <w:tcPr>
            <w:tcW w:type="dxa" w:w="25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809,437</w:t>
            </w:r>
          </w:p>
        </w:tc>
        <w:tc>
          <w:tcPr>
            <w:tcW w:type="dxa" w:w="15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Newly tracked</w:t>
            </w:r>
          </w:p>
        </w:tc>
      </w:tr>
      <w:tr>
        <w:tc>
          <w:tcPr>
            <w:tcW w:type="dxa" w:w="3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Scope 1+2 Intensity (MT CO2e/MT Production)</w:t>
            </w:r>
          </w:p>
        </w:tc>
        <w:tc>
          <w:tcPr>
            <w:tcW w:type="dxa" w:w="2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w:t>
            </w:r>
          </w:p>
        </w:tc>
        <w:tc>
          <w:tcPr>
            <w:tcW w:type="dxa" w:w="2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0.226</w:t>
            </w:r>
          </w:p>
        </w:tc>
        <w:tc>
          <w:tcPr>
            <w:tcW w:type="dxa" w:w="15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w:t>
            </w:r>
          </w:p>
        </w:tc>
      </w:tr>
      <w:tr>
        <w:tc>
          <w:tcPr>
            <w:tcW w:type="dxa" w:w="35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Total Energy Consumed (MWh)</w:t>
            </w:r>
          </w:p>
        </w:tc>
        <w:tc>
          <w:tcPr>
            <w:tcW w:type="dxa" w:w="25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w:t>
            </w:r>
          </w:p>
        </w:tc>
        <w:tc>
          <w:tcPr>
            <w:tcW w:type="dxa" w:w="25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435,264</w:t>
            </w:r>
          </w:p>
        </w:tc>
        <w:tc>
          <w:tcPr>
            <w:tcW w:type="dxa" w:w="15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w:t>
            </w:r>
          </w:p>
        </w:tc>
      </w:tr>
      <w:tr>
        <w:tc>
          <w:tcPr>
            <w:tcW w:type="dxa" w:w="3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Renewable Energy Sourced (MWh)</w:t>
            </w:r>
          </w:p>
        </w:tc>
        <w:tc>
          <w:tcPr>
            <w:tcW w:type="dxa" w:w="2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w:t>
            </w:r>
          </w:p>
        </w:tc>
        <w:tc>
          <w:tcPr>
            <w:tcW w:type="dxa" w:w="2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478</w:t>
            </w:r>
          </w:p>
        </w:tc>
        <w:tc>
          <w:tcPr>
            <w:tcW w:type="dxa" w:w="15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&lt;0.1%</w:t>
            </w:r>
          </w:p>
        </w:tc>
      </w:tr>
      <w:tr>
        <w:tc>
          <w:tcPr>
            <w:tcW w:type="dxa" w:w="35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Water Withdrawal (ML)</w:t>
            </w:r>
          </w:p>
        </w:tc>
        <w:tc>
          <w:tcPr>
            <w:tcW w:type="dxa" w:w="25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16,522</w:t>
            </w:r>
          </w:p>
        </w:tc>
        <w:tc>
          <w:tcPr>
            <w:tcW w:type="dxa" w:w="25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13,152</w:t>
            </w:r>
          </w:p>
        </w:tc>
        <w:tc>
          <w:tcPr>
            <w:tcW w:type="dxa" w:w="15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20% ↓</w:t>
            </w:r>
          </w:p>
        </w:tc>
      </w:tr>
    </w:tbl>
    <w:p>
      <w:pPr>
        <w:spacing w:after="0" w:before="160"/>
      </w:pPr>
    </w:p>
    <w:p>
      <w:pPr>
        <w:pStyle w:val="Heading2"/>
        <w:spacing w:after="120" w:before="240"/>
      </w:pPr>
      <w:r>
        <w:rPr>
          <w:rFonts w:ascii="Century Gothic" w:cs="Century Gothic" w:eastAsia="Century Gothic" w:hAnsi="Century Gothic"/>
          <w:b/>
          <w:bCs/>
          <w:color w:val="008264"/>
          <w:sz w:val="26"/>
          <w:szCs w:val="26"/>
        </w:rPr>
        <w:t xml:space="preserve">7.2  Safety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gridCol w:w="1580"/>
      </w:tblGrid>
      <w:tr>
        <w:tc>
          <w:tcPr>
            <w:tcW w:type="dxa" w:w="35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Metric</w:t>
            </w:r>
          </w:p>
        </w:tc>
        <w:tc>
          <w:tcPr>
            <w:tcW w:type="dxa" w:w="25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2021</w:t>
            </w:r>
          </w:p>
        </w:tc>
        <w:tc>
          <w:tcPr>
            <w:tcW w:type="dxa" w:w="25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2025</w:t>
            </w:r>
          </w:p>
        </w:tc>
        <w:tc>
          <w:tcPr>
            <w:tcW w:type="dxa" w:w="158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Benchmark</w:t>
            </w:r>
          </w:p>
        </w:tc>
      </w:tr>
      <w:tr>
        <w:tc>
          <w:tcPr>
            <w:tcW w:type="dxa" w:w="3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Total Recordable Incident Rate (TRIR)</w:t>
            </w:r>
          </w:p>
        </w:tc>
        <w:tc>
          <w:tcPr>
            <w:tcW w:type="dxa" w:w="2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1.8</w:t>
            </w:r>
          </w:p>
        </w:tc>
        <w:tc>
          <w:tcPr>
            <w:tcW w:type="dxa" w:w="2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0.8</w:t>
            </w:r>
          </w:p>
        </w:tc>
        <w:tc>
          <w:tcPr>
            <w:tcW w:type="dxa" w:w="15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Industry: 1.8</w:t>
            </w:r>
          </w:p>
        </w:tc>
      </w:tr>
      <w:tr>
        <w:tc>
          <w:tcPr>
            <w:tcW w:type="dxa" w:w="35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Total Near Misses (2025)</w:t>
            </w:r>
          </w:p>
        </w:tc>
        <w:tc>
          <w:tcPr>
            <w:tcW w:type="dxa" w:w="25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w:t>
            </w:r>
          </w:p>
        </w:tc>
        <w:tc>
          <w:tcPr>
            <w:tcW w:type="dxa" w:w="25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32</w:t>
            </w:r>
          </w:p>
        </w:tc>
        <w:tc>
          <w:tcPr>
            <w:tcW w:type="dxa" w:w="15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w:t>
            </w:r>
          </w:p>
        </w:tc>
      </w:tr>
      <w:tr>
        <w:tc>
          <w:tcPr>
            <w:tcW w:type="dxa" w:w="3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Significant Process Safety Events (2025)</w:t>
            </w:r>
          </w:p>
        </w:tc>
        <w:tc>
          <w:tcPr>
            <w:tcW w:type="dxa" w:w="2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w:t>
            </w:r>
          </w:p>
        </w:tc>
        <w:tc>
          <w:tcPr>
            <w:tcW w:type="dxa" w:w="2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4</w:t>
            </w:r>
          </w:p>
        </w:tc>
        <w:tc>
          <w:tcPr>
            <w:tcW w:type="dxa" w:w="15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w:t>
            </w:r>
          </w:p>
        </w:tc>
      </w:tr>
    </w:tbl>
    <w:p>
      <w:pPr>
        <w:spacing w:after="0" w:before="160"/>
      </w:pPr>
    </w:p>
    <w:p>
      <w:pPr>
        <w:pStyle w:val="Heading2"/>
        <w:spacing w:after="120" w:before="240"/>
      </w:pPr>
      <w:r>
        <w:rPr>
          <w:rFonts w:ascii="Century Gothic" w:cs="Century Gothic" w:eastAsia="Century Gothic" w:hAnsi="Century Gothic"/>
          <w:b/>
          <w:bCs/>
          <w:color w:val="008264"/>
          <w:sz w:val="26"/>
          <w:szCs w:val="26"/>
        </w:rPr>
        <w:t xml:space="preserve">7.3  Governance and Ethics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Governance Element</w:t>
            </w:r>
          </w:p>
        </w:tc>
        <w:tc>
          <w:tcPr>
            <w:tcW w:type="dxa" w:w="508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Status as of April 2026</w:t>
            </w:r>
          </w:p>
        </w:tc>
      </w:tr>
      <w:tr>
        <w:tc>
          <w:tcPr>
            <w:tcW w:type="dxa" w:w="50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ESG Steering Committee</w:t>
            </w:r>
          </w:p>
        </w:tc>
        <w:tc>
          <w:tcPr>
            <w:tcW w:type="dxa" w:w="50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Active; monthly cadence; reports to CEO; cross-functional executive membership</w:t>
            </w:r>
          </w:p>
        </w:tc>
      </w:tr>
      <w:tr>
        <w:tc>
          <w:tcPr>
            <w:tcW w:type="dxa" w:w="50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Anti-Corruption Program</w:t>
            </w:r>
          </w:p>
        </w:tc>
        <w:tc>
          <w:tcPr>
            <w:tcW w:type="dxa" w:w="50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Risk assessment complete (19 risks, 19 controls); policy effective April 2023; Finance questionnaire in progress</w:t>
            </w:r>
          </w:p>
        </w:tc>
      </w:tr>
      <w:tr>
        <w:tc>
          <w:tcPr>
            <w:tcW w:type="dxa" w:w="50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Code of Conduct (updated May 2024)</w:t>
            </w:r>
          </w:p>
        </w:tc>
        <w:tc>
          <w:tcPr>
            <w:tcW w:type="dxa" w:w="50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Published; covers EHS, financial integrity, digital security, human rights</w:t>
            </w:r>
          </w:p>
        </w:tc>
      </w:tr>
      <w:tr>
        <w:tc>
          <w:tcPr>
            <w:tcW w:type="dxa" w:w="50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EthicsPoint Hotline</w:t>
            </w:r>
          </w:p>
        </w:tc>
        <w:tc>
          <w:tcPr>
            <w:tcW w:type="dxa" w:w="50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Active 24/7; confidential; available to employees and external stakeholders</w:t>
            </w:r>
          </w:p>
        </w:tc>
      </w:tr>
      <w:tr>
        <w:tc>
          <w:tcPr>
            <w:tcW w:type="dxa" w:w="50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TCFD Disclosure</w:t>
            </w:r>
          </w:p>
        </w:tc>
        <w:tc>
          <w:tcPr>
            <w:tcW w:type="dxa" w:w="508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Published in Sustainability Overview (First Edition, March 2026)</w:t>
            </w:r>
          </w:p>
        </w:tc>
      </w:tr>
      <w:tr>
        <w:tc>
          <w:tcPr>
            <w:tcW w:type="dxa" w:w="50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EcoVadis Score</w:t>
            </w:r>
          </w:p>
        </w:tc>
        <w:tc>
          <w:tcPr>
            <w:tcW w:type="dxa" w:w="508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Bronze (83rd percentile); Silver targeted near-term; Gold targeted 12–18 months</w:t>
            </w:r>
          </w:p>
        </w:tc>
      </w:tr>
    </w:tbl>
    <w:p>
      <w:r>
        <w:br w:type="page"/>
      </w:r>
    </w:p>
    <w:p>
      <w:pPr>
        <w:pStyle w:val="Heading1"/>
        <w:spacing w:after="160" w:before="320"/>
      </w:pPr>
      <w:r>
        <w:rPr>
          <w:rFonts w:ascii="Century Gothic" w:cs="Century Gothic" w:eastAsia="Century Gothic" w:hAnsi="Century Gothic"/>
          <w:b/>
          <w:bCs/>
          <w:color w:val="008264"/>
          <w:sz w:val="32"/>
          <w:szCs w:val="32"/>
        </w:rPr>
        <w:t xml:space="preserve">8. Recommended Next Steps</w:t>
      </w:r>
    </w:p>
    <w:p>
      <w:pPr>
        <w:spacing w:after="80" w:before="80"/>
      </w:pPr>
      <w:r>
        <w:rPr>
          <w:rFonts w:ascii="Century Gothic" w:cs="Century Gothic" w:eastAsia="Century Gothic" w:hAnsi="Century Gothic"/>
          <w:color w:val="161617"/>
          <w:sz w:val="20"/>
          <w:szCs w:val="20"/>
        </w:rPr>
        <w:t xml:space="preserve">The following near-term actions are recommended to close the most material gaps identified in this assessment:</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2000"/>
        <w:gridCol w:w="1500"/>
        <w:gridCol w:w="1480"/>
      </w:tblGrid>
      <w:tr>
        <w:tc>
          <w:tcPr>
            <w:tcW w:type="dxa" w:w="6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w:t>
            </w:r>
          </w:p>
        </w:tc>
        <w:tc>
          <w:tcPr>
            <w:tcW w:type="dxa" w:w="45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Action</w:t>
            </w:r>
          </w:p>
        </w:tc>
        <w:tc>
          <w:tcPr>
            <w:tcW w:type="dxa" w:w="20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Owner</w:t>
            </w:r>
          </w:p>
        </w:tc>
        <w:tc>
          <w:tcPr>
            <w:tcW w:type="dxa" w:w="150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Timing</w:t>
            </w:r>
          </w:p>
        </w:tc>
        <w:tc>
          <w:tcPr>
            <w:tcW w:type="dxa" w:w="1480"/>
            <w:shd w:fill="008264" w:val="clear"/>
            <w:tcMar>
              <w:top w:type="dxa" w:w="80"/>
              <w:left w:type="dxa" w:w="120"/>
              <w:bottom w:type="dxa" w:w="80"/>
              <w:right w:type="dxa" w:w="120"/>
            </w:tcMar>
            <w:vAlign w:val="center"/>
          </w:tcPr>
          <w:p>
            <w:pPr>
              <w:spacing w:after="0" w:before="0"/>
              <w:jc w:val="left"/>
            </w:pPr>
            <w:r>
              <w:rPr>
                <w:rFonts w:ascii="Century Gothic" w:cs="Century Gothic" w:eastAsia="Century Gothic" w:hAnsi="Century Gothic"/>
                <w:b/>
                <w:bCs/>
                <w:color w:val="FFFFFF"/>
                <w:sz w:val="18"/>
                <w:szCs w:val="18"/>
              </w:rPr>
              <w:t xml:space="preserve">Priority</w:t>
            </w:r>
          </w:p>
        </w:tc>
      </w:tr>
      <w:tr>
        <w:tc>
          <w:tcPr>
            <w:tcW w:type="dxa" w:w="6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1</w:t>
            </w:r>
          </w:p>
        </w:tc>
        <w:tc>
          <w:tcPr>
            <w:tcW w:type="dxa" w:w="4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Refresh materiality stakeholder survey (internal + external) using double-materiality methodology; engage 15+ internal and 10+ external stakeholders</w:t>
            </w:r>
          </w:p>
        </w:tc>
        <w:tc>
          <w:tcPr>
            <w:tcW w:type="dxa" w:w="20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Dan DiZio + Anthesis</w:t>
            </w:r>
          </w:p>
        </w:tc>
        <w:tc>
          <w:tcPr>
            <w:tcW w:type="dxa" w:w="1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Q3 2026</w:t>
            </w:r>
          </w:p>
        </w:tc>
        <w:tc>
          <w:tcPr>
            <w:tcW w:type="dxa" w:w="1480"/>
            <w:shd w:fill="C0392B"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HIGH</w:t>
            </w:r>
          </w:p>
        </w:tc>
      </w:tr>
      <w:tr>
        <w:tc>
          <w:tcPr>
            <w:tcW w:type="dxa" w:w="6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2</w:t>
            </w:r>
          </w:p>
        </w:tc>
        <w:tc>
          <w:tcPr>
            <w:tcW w:type="dxa" w:w="45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Set formal GHG reduction targets; evaluate SBTi pathway; publish targets in updated ESG communications</w:t>
            </w:r>
          </w:p>
        </w:tc>
        <w:tc>
          <w:tcPr>
            <w:tcW w:type="dxa" w:w="20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Ryan Robotham + Dan DiZio</w:t>
            </w:r>
          </w:p>
        </w:tc>
        <w:tc>
          <w:tcPr>
            <w:tcW w:type="dxa" w:w="15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Q4 2026</w:t>
            </w:r>
          </w:p>
        </w:tc>
        <w:tc>
          <w:tcPr>
            <w:tcW w:type="dxa" w:w="1480"/>
            <w:shd w:fill="C0392B"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HIGH</w:t>
            </w:r>
          </w:p>
        </w:tc>
      </w:tr>
      <w:tr>
        <w:tc>
          <w:tcPr>
            <w:tcW w:type="dxa" w:w="6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3</w:t>
            </w:r>
          </w:p>
        </w:tc>
        <w:tc>
          <w:tcPr>
            <w:tcW w:type="dxa" w:w="4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Establish DEI baseline dashboard with Wendy Gallego; collect gender and diversity data by level; set representation targets</w:t>
            </w:r>
          </w:p>
        </w:tc>
        <w:tc>
          <w:tcPr>
            <w:tcW w:type="dxa" w:w="20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Wendy Gallego + HR</w:t>
            </w:r>
          </w:p>
        </w:tc>
        <w:tc>
          <w:tcPr>
            <w:tcW w:type="dxa" w:w="1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Q3 2026</w:t>
            </w:r>
          </w:p>
        </w:tc>
        <w:tc>
          <w:tcPr>
            <w:tcW w:type="dxa" w:w="1480"/>
            <w:shd w:fill="C0392B"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HIGH</w:t>
            </w:r>
          </w:p>
        </w:tc>
      </w:tr>
      <w:tr>
        <w:tc>
          <w:tcPr>
            <w:tcW w:type="dxa" w:w="6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4</w:t>
            </w:r>
          </w:p>
        </w:tc>
        <w:tc>
          <w:tcPr>
            <w:tcW w:type="dxa" w:w="45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Pull HRIS training hours and workforce KPIs to complete EcoVadis Labor &amp; HR submission; fill open placeholders in L&amp;HR Annual Results Statement</w:t>
            </w:r>
          </w:p>
        </w:tc>
        <w:tc>
          <w:tcPr>
            <w:tcW w:type="dxa" w:w="20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Wendy Gallego / HRIS</w:t>
            </w:r>
          </w:p>
        </w:tc>
        <w:tc>
          <w:tcPr>
            <w:tcW w:type="dxa" w:w="15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Q2 2026</w:t>
            </w:r>
          </w:p>
        </w:tc>
        <w:tc>
          <w:tcPr>
            <w:tcW w:type="dxa" w:w="1480"/>
            <w:shd w:fill="C0392B"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HIGH</w:t>
            </w:r>
          </w:p>
        </w:tc>
      </w:tr>
      <w:tr>
        <w:tc>
          <w:tcPr>
            <w:tcW w:type="dxa" w:w="6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5</w:t>
            </w:r>
          </w:p>
        </w:tc>
        <w:tc>
          <w:tcPr>
            <w:tcW w:type="dxa" w:w="4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Advance EcoVadis from Bronze to Silver: complete Finance anti-corruption questionnaire; upload all completed documentation with evidence tags per cross-reference guide</w:t>
            </w:r>
          </w:p>
        </w:tc>
        <w:tc>
          <w:tcPr>
            <w:tcW w:type="dxa" w:w="20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Dan DiZio</w:t>
            </w:r>
          </w:p>
        </w:tc>
        <w:tc>
          <w:tcPr>
            <w:tcW w:type="dxa" w:w="1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Q2 2026</w:t>
            </w:r>
          </w:p>
        </w:tc>
        <w:tc>
          <w:tcPr>
            <w:tcW w:type="dxa" w:w="1480"/>
            <w:shd w:fill="C0392B"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HIGH</w:t>
            </w:r>
          </w:p>
        </w:tc>
      </w:tr>
      <w:tr>
        <w:tc>
          <w:tcPr>
            <w:tcW w:type="dxa" w:w="6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6</w:t>
            </w:r>
          </w:p>
        </w:tc>
        <w:tc>
          <w:tcPr>
            <w:tcW w:type="dxa" w:w="45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Develop renewable energy sourcing plan; evaluate PPA options and solar expansion at manufacturing sites</w:t>
            </w:r>
          </w:p>
        </w:tc>
        <w:tc>
          <w:tcPr>
            <w:tcW w:type="dxa" w:w="20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Ryan Robotham / Procurement</w:t>
            </w:r>
          </w:p>
        </w:tc>
        <w:tc>
          <w:tcPr>
            <w:tcW w:type="dxa" w:w="15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Q3 2026</w:t>
            </w:r>
          </w:p>
        </w:tc>
        <w:tc>
          <w:tcPr>
            <w:tcW w:type="dxa" w:w="1480"/>
            <w:shd w:fill="E8A000"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MED</w:t>
            </w:r>
          </w:p>
        </w:tc>
      </w:tr>
      <w:tr>
        <w:tc>
          <w:tcPr>
            <w:tcW w:type="dxa" w:w="6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7</w:t>
            </w:r>
          </w:p>
        </w:tc>
        <w:tc>
          <w:tcPr>
            <w:tcW w:type="dxa" w:w="4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Compile waste data across all sites for first annual ESG report; include hazardous and non-hazardous waste generation and disposal method</w:t>
            </w:r>
          </w:p>
        </w:tc>
        <w:tc>
          <w:tcPr>
            <w:tcW w:type="dxa" w:w="20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Ryan Robotham</w:t>
            </w:r>
          </w:p>
        </w:tc>
        <w:tc>
          <w:tcPr>
            <w:tcW w:type="dxa" w:w="1500"/>
            <w:shd w:fill="E6F4F1"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Q3 2026</w:t>
            </w:r>
          </w:p>
        </w:tc>
        <w:tc>
          <w:tcPr>
            <w:tcW w:type="dxa" w:w="1480"/>
            <w:shd w:fill="E8A000"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MED</w:t>
            </w:r>
          </w:p>
        </w:tc>
      </w:tr>
      <w:tr>
        <w:tc>
          <w:tcPr>
            <w:tcW w:type="dxa" w:w="6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8</w:t>
            </w:r>
          </w:p>
        </w:tc>
        <w:tc>
          <w:tcPr>
            <w:tcW w:type="dxa" w:w="45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Publish first formal Annual ESG Report using GRI or SASB standards framework; leverage Sustainability Overview as foundation</w:t>
            </w:r>
          </w:p>
        </w:tc>
        <w:tc>
          <w:tcPr>
            <w:tcW w:type="dxa" w:w="20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Dan DiZio + Corp Affairs</w:t>
            </w:r>
          </w:p>
        </w:tc>
        <w:tc>
          <w:tcPr>
            <w:tcW w:type="dxa" w:w="1500"/>
            <w:shd w:fill="FFFFFF" w:val="clear"/>
            <w:tcMar>
              <w:top w:type="dxa" w:w="80"/>
              <w:left w:type="dxa" w:w="120"/>
              <w:bottom w:type="dxa" w:w="80"/>
              <w:right w:type="dxa" w:w="120"/>
            </w:tcMar>
            <w:vAlign w:val="center"/>
          </w:tcPr>
          <w:p>
            <w:pPr>
              <w:spacing w:after="0" w:before="0"/>
            </w:pPr>
            <w:r>
              <w:rPr>
                <w:rFonts w:ascii="Century Gothic" w:cs="Century Gothic" w:eastAsia="Century Gothic" w:hAnsi="Century Gothic"/>
                <w:b w:val="false"/>
                <w:bCs w:val="false"/>
                <w:color w:val="161617"/>
                <w:sz w:val="18"/>
                <w:szCs w:val="18"/>
              </w:rPr>
              <w:t xml:space="preserve">Q4 2026</w:t>
            </w:r>
          </w:p>
        </w:tc>
        <w:tc>
          <w:tcPr>
            <w:tcW w:type="dxa" w:w="1480"/>
            <w:shd w:fill="E8A000" w:val="clear"/>
            <w:tcMar>
              <w:top w:type="dxa" w:w="80"/>
              <w:left w:type="dxa" w:w="120"/>
              <w:bottom w:type="dxa" w:w="80"/>
              <w:right w:type="dxa" w:w="120"/>
            </w:tcMar>
            <w:vAlign w:val="center"/>
          </w:tcPr>
          <w:p>
            <w:pPr>
              <w:spacing w:after="0" w:before="0"/>
              <w:jc w:val="center"/>
            </w:pPr>
            <w:r>
              <w:rPr>
                <w:rFonts w:ascii="Century Gothic" w:cs="Century Gothic" w:eastAsia="Century Gothic" w:hAnsi="Century Gothic"/>
                <w:b/>
                <w:bCs/>
                <w:color w:val="FFFFFF"/>
                <w:sz w:val="18"/>
                <w:szCs w:val="18"/>
              </w:rPr>
              <w:t xml:space="preserve">MED</w:t>
            </w:r>
          </w:p>
        </w:tc>
      </w:tr>
    </w:tbl>
    <w:p>
      <w:pPr>
        <w:spacing w:after="0" w:before="120"/>
      </w:pPr>
    </w:p>
    <w:p>
      <w:pPr>
        <w:spacing w:after="80" w:before="80"/>
      </w:pPr>
      <w:r>
        <w:rPr>
          <w:rFonts w:ascii="Century Gothic" w:cs="Century Gothic" w:eastAsia="Century Gothic" w:hAnsi="Century Gothic"/>
          <w:color w:val="161617"/>
          <w:sz w:val="20"/>
          <w:szCs w:val="20"/>
        </w:rPr>
        <w:t xml:space="preserve">This updated materiality assessment should serve as the foundation for Vantage's second formal ESG strategy refresh, incorporating updated stakeholder input, the progress made since 2022, and the expanded regulatory and customer landscape. The assessment should be fully updated on a 2–3 year cycle, with annual KPI updates to the data sections.</w:t>
      </w:r>
    </w:p>
    <w:p>
      <w:pPr>
        <w:spacing w:after="0" w:before="80"/>
      </w:pPr>
    </w:p>
    <w:p>
      <w:pPr>
        <w:pBdr>
          <w:top w:val="single" w:color="008264" w:sz="6" w:space="6"/>
        </w:pBdr>
        <w:spacing w:after="0" w:before="0"/>
      </w:pPr>
      <w:r>
        <w:t xml:space="preserve"/>
      </w:r>
    </w:p>
    <w:p>
      <w:pPr>
        <w:spacing w:after="0" w:before="80"/>
      </w:pPr>
    </w:p>
    <w:p>
      <w:pPr>
        <w:spacing w:after="0" w:before="0"/>
        <w:jc w:val="center"/>
      </w:pPr>
      <w:r>
        <w:rPr>
          <w:rFonts w:ascii="Century Gothic" w:cs="Century Gothic" w:eastAsia="Century Gothic" w:hAnsi="Century Gothic"/>
          <w:i/>
          <w:iCs/>
          <w:color w:val="888888"/>
          <w:sz w:val="18"/>
          <w:szCs w:val="18"/>
        </w:rPr>
        <w:t xml:space="preserve">Vantage Specialty Chemicals | Global Sustainability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8264" w:sz="4" w:space="4"/>
      </w:pBdr>
      <w:tabs>
        <w:tab w:val="right" w:pos="10080"/>
      </w:tabs>
      <w:spacing w:after="0" w:before="80"/>
    </w:pPr>
    <w:r>
      <w:rPr>
        <w:rFonts w:ascii="Century Gothic" w:cs="Century Gothic" w:eastAsia="Century Gothic" w:hAnsi="Century Gothic"/>
        <w:i/>
        <w:iCs/>
        <w:color w:val="888888"/>
        <w:sz w:val="16"/>
        <w:szCs w:val="16"/>
      </w:rPr>
      <w:t xml:space="preserve">CONFIDENTIAL</w:t>
    </w:r>
    <w:r>
      <w:rPr>
        <w:rFonts w:ascii="Century Gothic" w:cs="Century Gothic" w:eastAsia="Century Gothic" w:hAnsi="Century Gothic"/>
        <w:sz w:val="16"/>
        <w:szCs w:val="16"/>
      </w:rPr>
      <w:t xml:space="preserve">	</w:t>
    </w:r>
    <w:r>
      <w:rPr>
        <w:rFonts w:ascii="Century Gothic" w:cs="Century Gothic" w:eastAsia="Century Gothic" w:hAnsi="Century Gothic"/>
        <w:color w:val="888888"/>
        <w:sz w:val="16"/>
        <w:szCs w:val="16"/>
      </w:rPr>
      <w:t xml:space="preserve">Page </w:t>
    </w:r>
    <w:r>
      <w:rPr>
        <w:rFonts w:ascii="Century Gothic" w:cs="Century Gothic" w:eastAsia="Century Gothic" w:hAnsi="Century Gothic"/>
        <w:color w:val="0082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264" w:sz="6" w:space="4"/>
      </w:pBdr>
      <w:spacing w:after="120" w:before="0"/>
    </w:pPr>
    <w:r>
      <w:rPr>
        <w:rFonts w:ascii="Century Gothic" w:cs="Century Gothic" w:eastAsia="Century Gothic" w:hAnsi="Century Gothic"/>
        <w:b/>
        <w:bCs/>
        <w:color w:val="008264"/>
        <w:sz w:val="16"/>
        <w:szCs w:val="16"/>
      </w:rPr>
      <w:t xml:space="preserve">VANTAGE SPECIALTY CHEMICALS  |  ESG Materiality Assessment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616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entury Gothic" w:cs="Century Gothic" w:eastAsia="Century Gothic" w:hAnsi="Century Gothic"/>
      <w:b/>
      <w:bCs/>
      <w:color w:val="008264"/>
      <w:sz w:val="32"/>
      <w:szCs w:val="32"/>
    </w:rPr>
  </w:style>
  <w:style w:type="paragraph" w:styleId="Heading2">
    <w:name w:val="Heading 2"/>
    <w:basedOn w:val="Normal"/>
    <w:next w:val="Normal"/>
    <w:qFormat/>
    <w:pPr>
      <w:spacing w:after="120" w:before="240"/>
      <w:outlineLvl w:val="1"/>
    </w:pPr>
    <w:rPr>
      <w:rFonts w:ascii="Century Gothic" w:cs="Century Gothic" w:eastAsia="Century Gothic" w:hAnsi="Century Gothic"/>
      <w:b/>
      <w:bCs/>
      <w:color w:val="0082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2026-04-13T20:24:47.866Z</dcterms:created>
  <dcterms:modified xsi:type="dcterms:W3CDTF">2026-04-13T20:24:47.867Z</dcterms:modified>
</cp:coreProperties>
</file>

<file path=docProps/custom.xml><?xml version="1.0" encoding="utf-8"?>
<Properties xmlns="http://schemas.openxmlformats.org/officeDocument/2006/custom-properties" xmlns:vt="http://schemas.openxmlformats.org/officeDocument/2006/docPropsVTypes"/>
</file>