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Labor &amp; Human Rights — Annual Results Statement</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HR / Sustainability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08/18/2026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Specialty Chemicals</w:t>
      </w:r>
    </w:p>
    <w:p>
      <w:pPr>
        <w:spacing w:before="0" w:after="120"/>
        <w:rPr>
          <w:rFonts w:ascii="Century Gothic" w:hAnsi="Century Gothic" w:cs="Century Gothic"/>
          <w:sz w:val="20"/>
          <w:szCs w:val="20"/>
        </w:rPr>
      </w:pPr>
      <w:r>
        <w:rPr>
          <w:rFonts w:ascii="Century Gothic" w:hAnsi="Century Gothic" w:cs="Century Gothic"/>
          <w:sz w:val="20"/>
          <w:szCs w:val="20"/>
        </w:rPr>
        <w:t xml:space="preserve">This statement summarizes Vantage Specialty Chemicals' labor and human rights performance for the 2025 reporting period. It is prepared in support of EcoVadis disclosure requirements and reflects actual outcomes across our global operations. Bracketed values [ ] indicate items to be confirmed by HR/EHS prior to submission.</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Reporting Period</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2025</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Workforce Overview</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reflects the composition of Vantage's direct workforce across global operations during the 2025 reporting period.</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227"/>
        <w:gridCol w:w="1645"/>
        <w:gridCol w:w="4928"/>
      </w:tblGrid>
      <w:tr>
        <w:trPr>
          <w:cantSplit/>
          <w:tblHeader/>
        </w:trPr>
        <w:tc>
          <w:tcPr>
            <w:tcW w:w="422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164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4928"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422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direct employees (FTE)</w:t>
            </w:r>
          </w:p>
        </w:tc>
        <w:tc>
          <w:tcPr>
            <w:tcW w:w="164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998</w:t>
            </w:r>
          </w:p>
        </w:tc>
        <w:tc>
          <w:tcPr>
            <w:tcW w:w="4928"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Global headcount, FTE basis</w:t>
            </w:r>
          </w:p>
        </w:tc>
      </w:tr>
      <w:tr>
        <w:trPr>
          <w:cantSplit/>
        </w:trPr>
        <w:tc>
          <w:tcPr>
            <w:tcW w:w="422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Countries of operation</w:t>
            </w:r>
          </w:p>
        </w:tc>
        <w:tc>
          <w:tcPr>
            <w:tcW w:w="164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w:t>
            </w:r>
          </w:p>
        </w:tc>
        <w:tc>
          <w:tcPr>
            <w:tcW w:w="4928"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Argentina</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Belgium</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Brazil</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Canada</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Chile</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China</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Colombia</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France</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Germany</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Hong Kong</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Italy</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Japan</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Korea, Republic of</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Mexico</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Poland</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South Africa</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Spain</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Thailand</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United Kingdom</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United States of America</w:t>
            </w:r>
          </w:p>
        </w:tc>
      </w:tr>
      <w:tr>
        <w:trPr>
          <w:cantSplit/>
        </w:trPr>
        <w:tc>
          <w:tcPr>
            <w:tcW w:w="422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Manufacturing / operational sites</w:t>
            </w:r>
          </w:p>
        </w:tc>
        <w:tc>
          <w:tcPr>
            <w:tcW w:w="164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c>
          <w:tcPr>
            <w:tcW w:w="4928"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Tucson, Leuna, Carnegie, Napor, Chicago, Fairfield, Gurnee, Englewood, Warren, Les Borges</w:t>
            </w:r>
          </w:p>
        </w:tc>
      </w:tr>
      <w:tr>
        <w:trPr>
          <w:cantSplit/>
        </w:trPr>
        <w:tc>
          <w:tcPr>
            <w:tcW w:w="422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Percentage of workforce covered by collective bargaining agreements</w:t>
            </w:r>
          </w:p>
        </w:tc>
        <w:tc>
          <w:tcPr>
            <w:tcW w:w="164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w:t>
            </w:r>
          </w:p>
        </w:tc>
        <w:tc>
          <w:tcPr>
            <w:tcW w:w="4928"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By headcount</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Occupational Health &amp; Safety</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is committed to providing a safe and healthy workplace across all sites. The company is subject to federal, state, and local environmental and safety agency oversight, including annual inspections at Title V permitted facilities.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330"/>
        <w:gridCol w:w="2669"/>
        <w:gridCol w:w="2801"/>
      </w:tblGrid>
      <w:tr>
        <w:trPr>
          <w:cantSplit/>
          <w:tblHeader/>
        </w:trPr>
        <w:tc>
          <w:tcPr>
            <w:tcW w:w="533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6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280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hours worked</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2,163,026</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Jan – Dec 2025</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recordable incident rate (TRIR)</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0.7</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Per 200,000 hours worked</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Lost time incident rate (LTIR)</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0.4</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Per 200,000 hours worked</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days lost to work-related injury or illness</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76</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Calendar year 2025</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Work-related fatalities</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No fatalities reported</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Work-related recordables</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Calendar year 2025</w:t>
            </w:r>
          </w:p>
        </w:tc>
      </w:tr>
      <w:tr>
        <w:trPr>
          <w:cantSplit/>
        </w:trPr>
        <w:tc>
          <w:tcPr>
            <w:tcW w:w="53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Near-miss incidents reported</w:t>
            </w:r>
          </w:p>
        </w:tc>
        <w:tc>
          <w:tcPr>
            <w:tcW w:w="26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450</w:t>
            </w:r>
          </w:p>
        </w:tc>
        <w:tc>
          <w:tcPr>
            <w:tcW w:w="280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Tracked via Intelex</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Regulatory interactions are documented via Intelex. Sites maintain compliance calendars and interface with relevant agencies on permit applications, renewals, and inspections. No enforcement actions, notices of violation, or penalties were issued during the reporting period.</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Training &amp; Development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delivers annual compliance training to all employees through a managed learning management system (LMS) called “KnowBe4.” Training content covers ethics, anti-corruption, code of conduct, data privacy, cybersecurity, and workplace safety. The figures below are drawn directly from LMS completion records as of the 2025 reporting period.</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3.1  Training Coverage Summary</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6231"/>
        <w:gridCol w:w="2285"/>
        <w:gridCol w:w="2284"/>
      </w:tblGrid>
      <w:tr>
        <w:trPr>
          <w:cantSplit/>
          <w:tblHeader/>
        </w:trPr>
        <w:tc>
          <w:tcPr>
            <w:tcW w:w="62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2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Value</w:t>
            </w:r>
          </w:p>
        </w:tc>
        <w:tc>
          <w:tcPr>
            <w:tcW w:w="228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 / Source</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employees in LMS</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953</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Active email accounts, 2025 LMS</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Employees enrolled in compliance training campaign</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873 (91.6%)</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2025 annual compliance campaign</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Avg. compliance training hours per completing employee</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~1.8 hrs</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CoC + Anti-Corruption combined</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unique training modules delivered (all topics)</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74</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LMS catalog</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3.2  Code of Conduct Training</w:t>
      </w:r>
    </w:p>
    <w:p>
      <w:pPr>
        <w:spacing w:before="0" w:after="120"/>
        <w:rPr>
          <w:rFonts w:ascii="Century Gothic" w:hAnsi="Century Gothic" w:cs="Century Gothic"/>
          <w:sz w:val="20"/>
          <w:szCs w:val="20"/>
        </w:rPr>
      </w:pPr>
      <w:r>
        <w:rPr>
          <w:rFonts w:ascii="Century Gothic" w:hAnsi="Century Gothic" w:cs="Century Gothic"/>
          <w:sz w:val="20"/>
          <w:szCs w:val="20"/>
        </w:rPr>
        <w:t xml:space="preserve">All enrolled employees were assigned the Code of Conduct: Values Matter module as part of the 2025 annual compliance campaign.</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6231"/>
        <w:gridCol w:w="2285"/>
        <w:gridCol w:w="2284"/>
      </w:tblGrid>
      <w:tr>
        <w:trPr>
          <w:cantSplit/>
          <w:tblHeader/>
        </w:trPr>
        <w:tc>
          <w:tcPr>
            <w:tcW w:w="62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2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Value</w:t>
            </w:r>
          </w:p>
        </w:tc>
        <w:tc>
          <w:tcPr>
            <w:tcW w:w="228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 / Source</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Employees who completed Code of Conduct training</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632</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LMS completion records</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Completion rate — all employees</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66.3%</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632 of 953 total employees</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Completion rate — enrolled employees</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72.4%</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632 of 873 enrolled</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Average time to complete</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28.3 minutes</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LMS time-spent data</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3.3  Anti-Corruption &amp; Compliance Training</w:t>
      </w:r>
    </w:p>
    <w:p>
      <w:pPr>
        <w:spacing w:before="0" w:after="120"/>
        <w:rPr>
          <w:rFonts w:ascii="Century Gothic" w:hAnsi="Century Gothic" w:cs="Century Gothic"/>
          <w:sz w:val="20"/>
          <w:szCs w:val="20"/>
        </w:rPr>
      </w:pPr>
      <w:r>
        <w:rPr>
          <w:rFonts w:ascii="Century Gothic" w:hAnsi="Century Gothic" w:cs="Century Gothic"/>
          <w:sz w:val="20"/>
          <w:szCs w:val="20"/>
        </w:rPr>
        <w:t xml:space="preserve">Six core anti-corruption modules were assigned to all enrolled employees as part of the 2025 campaign. An additional whistleblower module was assigned to a broader subset of the workforce.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985"/>
        <w:gridCol w:w="1662"/>
        <w:gridCol w:w="2077"/>
        <w:gridCol w:w="2076"/>
      </w:tblGrid>
      <w:tr>
        <w:trPr>
          <w:cantSplit/>
          <w:tblHeader/>
        </w:trPr>
        <w:tc>
          <w:tcPr>
            <w:tcW w:w="49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Course Title</w:t>
            </w:r>
          </w:p>
        </w:tc>
        <w:tc>
          <w:tcPr>
            <w:tcW w:w="166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Completions</w:t>
            </w:r>
          </w:p>
        </w:tc>
        <w:tc>
          <w:tcPr>
            <w:tcW w:w="207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Completion Rate*</w:t>
            </w:r>
          </w:p>
        </w:tc>
        <w:tc>
          <w:tcPr>
            <w:tcW w:w="207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Avg. Duration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Code of Conduct: Values Matter</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632</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72.4%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28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Global Anti-Bribery and Corruption</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629</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72.1%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14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Dealing with Third Parties: Anti-Corruption</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608</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69.6%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Fair Competition – Antitrust Law</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617</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70.7%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12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Antitrust Essentials</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600</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68.7%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32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Perspectives w/ Quiz: Bribery &amp; Corruption</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614</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70.3%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Ethical Business Conduct Around the World</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605</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69.3% of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12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Becoming a Whistleblower</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547</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77.6% of 705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 min</w:t>
            </w:r>
          </w:p>
        </w:tc>
      </w:tr>
      <w:tr>
        <w:trPr>
          <w:cantSplit/>
        </w:trPr>
        <w:tc>
          <w:tcPr>
            <w:tcW w:w="49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EU Whistleblower Directive (EU employees)</w:t>
            </w:r>
          </w:p>
        </w:tc>
        <w:tc>
          <w:tcPr>
            <w:tcW w:w="16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107</w:t>
            </w:r>
          </w:p>
        </w:tc>
        <w:tc>
          <w:tcPr>
            <w:tcW w:w="20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66.0% of 162 enrolled</w:t>
            </w:r>
          </w:p>
        </w:tc>
        <w:tc>
          <w:tcPr>
            <w:tcW w:w="20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11 min</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 Completion rates above are calculated against the enrolled population for each module. Employees not enrolled in the campaign (approximately 80 individuals) include recent new hires and certain contractor classifications pending LMS onboarding.</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6231"/>
        <w:gridCol w:w="2285"/>
        <w:gridCol w:w="2284"/>
      </w:tblGrid>
      <w:tr>
        <w:trPr>
          <w:cantSplit/>
          <w:tblHeader/>
        </w:trPr>
        <w:tc>
          <w:tcPr>
            <w:tcW w:w="62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2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Value</w:t>
            </w:r>
          </w:p>
        </w:tc>
        <w:tc>
          <w:tcPr>
            <w:tcW w:w="228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 / Source</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Employees completing ALL 6 core anti-corruption modules</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578</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66.2% of enrolled</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Employees completing at least 1 anti-corruption module</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664</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76.1% of enrolled</w:t>
            </w:r>
          </w:p>
        </w:tc>
      </w:tr>
      <w:tr>
        <w:trPr>
          <w:cantSplit/>
        </w:trPr>
        <w:tc>
          <w:tcPr>
            <w:tcW w:w="6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Avg. anti-corruption training hours per completing employee</w:t>
            </w:r>
          </w:p>
        </w:tc>
        <w:tc>
          <w:tcPr>
            <w:tcW w:w="228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1.37 hrs (82 min)</w:t>
            </w:r>
          </w:p>
        </w:tc>
        <w:tc>
          <w:tcPr>
            <w:tcW w:w="2284"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LMS time-spent data</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Diversity, Equal Opportunity &amp; Non-Discrimination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prohibits discrimination and harassment on the basis of race, ethnicity, color, national origin, sex, gender identity, age, veteran status, disability, genetic information, and all other characteristics protected by applicable law. These commitments are codified in the Vantage Human Rights Policy (effective March 2025).</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776"/>
        <w:gridCol w:w="2392"/>
        <w:gridCol w:w="3632"/>
      </w:tblGrid>
      <w:tr>
        <w:trPr>
          <w:cantSplit/>
          <w:tblHeader/>
        </w:trPr>
        <w:tc>
          <w:tcPr>
            <w:tcW w:w="477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39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363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47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Formal discrimination complaints received</w:t>
            </w:r>
          </w:p>
        </w:tc>
        <w:tc>
          <w:tcPr>
            <w:tcW w:w="23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632"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Tracked and investigated by HR</w:t>
            </w:r>
          </w:p>
        </w:tc>
      </w:tr>
      <w:tr>
        <w:trPr>
          <w:cantSplit/>
        </w:trPr>
        <w:tc>
          <w:tcPr>
            <w:tcW w:w="47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Formal harassment complaints received</w:t>
            </w:r>
          </w:p>
        </w:tc>
        <w:tc>
          <w:tcPr>
            <w:tcW w:w="23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632"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Tracked and investigated by HR</w:t>
            </w:r>
          </w:p>
        </w:tc>
      </w:tr>
      <w:tr>
        <w:trPr>
          <w:cantSplit/>
        </w:trPr>
        <w:tc>
          <w:tcPr>
            <w:tcW w:w="47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Complaints substantiated following investigation</w:t>
            </w:r>
          </w:p>
        </w:tc>
        <w:tc>
          <w:tcPr>
            <w:tcW w:w="23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632" w:type="dxa"/>
            <w:vAlign w:val="top"/>
          </w:tcPr>
          <w:p>
            <w:pPr>
              <w:spacing w:before="0" w:after="0"/>
              <w:rPr>
                <w:rFonts w:ascii="Century Gothic" w:hAnsi="Century Gothic" w:cs="Century Gothic"/>
                <w:sz w:val="18"/>
                <w:szCs w:val="18"/>
              </w:rPr>
            </w:pPr>
          </w:p>
        </w:tc>
      </w:tr>
      <w:tr>
        <w:trPr>
          <w:cantSplit/>
        </w:trPr>
        <w:tc>
          <w:tcPr>
            <w:tcW w:w="47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Disciplinary actions taken for confirmed violations</w:t>
            </w:r>
          </w:p>
        </w:tc>
        <w:tc>
          <w:tcPr>
            <w:tcW w:w="23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632"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Consistent standards applied globally</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All investigations are conducted and documented by HR. Global standards are applied consistently across regions, with consideration for applicable local requirements.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Ethics Reporting &amp; Whistleblower Channel</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operates a confidential ethics reporting system — EthicsPoint — accessible to all employees globally. Anti-retaliation protections are communicated via the employee handbook. Employees may also report concerns directly to their manager, HRBP, or the Legal Department.</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562"/>
        <w:gridCol w:w="2289"/>
        <w:gridCol w:w="3949"/>
      </w:tblGrid>
      <w:tr>
        <w:trPr>
          <w:cantSplit/>
          <w:tblHeader/>
        </w:trPr>
        <w:tc>
          <w:tcPr>
            <w:tcW w:w="456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28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394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45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Ethics / misconduct reports received (EthicsPoint)</w:t>
            </w:r>
          </w:p>
        </w:tc>
        <w:tc>
          <w:tcPr>
            <w:tcW w:w="228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w:t>
            </w:r>
          </w:p>
        </w:tc>
        <w:tc>
          <w:tcPr>
            <w:tcW w:w="3949"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All categories</w:t>
            </w:r>
          </w:p>
        </w:tc>
      </w:tr>
      <w:tr>
        <w:trPr>
          <w:cantSplit/>
        </w:trPr>
        <w:tc>
          <w:tcPr>
            <w:tcW w:w="45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Reports related to labor or human rights issues</w:t>
            </w:r>
          </w:p>
        </w:tc>
        <w:tc>
          <w:tcPr>
            <w:tcW w:w="228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94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Report was unsubstantiated </w:t>
            </w:r>
          </w:p>
        </w:tc>
      </w:tr>
      <w:tr>
        <w:trPr>
          <w:cantSplit/>
        </w:trPr>
        <w:tc>
          <w:tcPr>
            <w:tcW w:w="45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Reports substantiated following review</w:t>
            </w:r>
          </w:p>
        </w:tc>
        <w:tc>
          <w:tcPr>
            <w:tcW w:w="228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949" w:type="dxa"/>
            <w:vAlign w:val="top"/>
          </w:tcPr>
          <w:p>
            <w:pPr>
              <w:spacing w:before="0" w:after="0"/>
              <w:rPr>
                <w:rFonts w:ascii="Century Gothic" w:hAnsi="Century Gothic" w:cs="Century Gothic"/>
                <w:sz w:val="18"/>
                <w:szCs w:val="18"/>
              </w:rPr>
            </w:pPr>
          </w:p>
        </w:tc>
      </w:tr>
      <w:tr>
        <w:trPr>
          <w:cantSplit/>
        </w:trPr>
        <w:tc>
          <w:tcPr>
            <w:tcW w:w="45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Confirmed corruption or bribery incidents</w:t>
            </w:r>
          </w:p>
        </w:tc>
        <w:tc>
          <w:tcPr>
            <w:tcW w:w="228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949"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No confirmed incidents in reporting period</w:t>
            </w:r>
          </w:p>
        </w:tc>
      </w:tr>
      <w:tr>
        <w:trPr>
          <w:cantSplit/>
        </w:trPr>
        <w:tc>
          <w:tcPr>
            <w:tcW w:w="45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Confirmed sanctions violations</w:t>
            </w:r>
          </w:p>
        </w:tc>
        <w:tc>
          <w:tcPr>
            <w:tcW w:w="228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949"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No violations identified</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Living Wage Assessment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completed a formal living wage assessment in January 2026 covering all direct employees (FTE basis) at owned and directly managed operational sites globally. The assessment used the MIT Living Wage Calculator for US locations and the Anker/Fair Wage Network methodology for international sites.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270"/>
        <w:gridCol w:w="2233"/>
        <w:gridCol w:w="4297"/>
      </w:tblGrid>
      <w:tr>
        <w:trPr>
          <w:cantSplit/>
          <w:tblHeader/>
        </w:trPr>
        <w:tc>
          <w:tcPr>
            <w:tcW w:w="427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23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429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427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Sites assessed</w:t>
            </w:r>
          </w:p>
        </w:tc>
        <w:tc>
          <w:tcPr>
            <w:tcW w:w="22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c>
          <w:tcPr>
            <w:tcW w:w="4297"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US, Germany, Spain, Argentina</w:t>
            </w:r>
          </w:p>
        </w:tc>
      </w:tr>
      <w:tr>
        <w:trPr>
          <w:cantSplit/>
        </w:trPr>
        <w:tc>
          <w:tcPr>
            <w:tcW w:w="427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Sites at or above living wage benchmark</w:t>
            </w:r>
          </w:p>
        </w:tc>
        <w:tc>
          <w:tcPr>
            <w:tcW w:w="22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 of 10</w:t>
            </w:r>
          </w:p>
        </w:tc>
        <w:tc>
          <w:tcPr>
            <w:tcW w:w="4297" w:type="dxa"/>
            <w:vAlign w:val="top"/>
          </w:tcPr>
          <w:p>
            <w:pPr>
              <w:spacing w:before="0" w:after="0"/>
              <w:rPr>
                <w:rFonts w:ascii="Century Gothic" w:hAnsi="Century Gothic" w:cs="Century Gothic"/>
                <w:sz w:val="18"/>
                <w:szCs w:val="18"/>
              </w:rPr>
            </w:pPr>
          </w:p>
        </w:tc>
      </w:tr>
      <w:tr>
        <w:trPr>
          <w:cantSplit/>
        </w:trPr>
        <w:tc>
          <w:tcPr>
            <w:tcW w:w="427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Sites with low-risk gap (&lt; $2.25/hr or equivalent)</w:t>
            </w:r>
          </w:p>
        </w:tc>
        <w:tc>
          <w:tcPr>
            <w:tcW w:w="22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 of 10</w:t>
            </w:r>
          </w:p>
        </w:tc>
        <w:tc>
          <w:tcPr>
            <w:tcW w:w="4297"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Englewood OH, Fairfield NJ, Dateland AZ</w:t>
            </w:r>
          </w:p>
        </w:tc>
      </w:tr>
      <w:tr>
        <w:trPr>
          <w:cantSplit/>
        </w:trPr>
        <w:tc>
          <w:tcPr>
            <w:tcW w:w="427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Sites with high-risk gap</w:t>
            </w:r>
          </w:p>
        </w:tc>
        <w:tc>
          <w:tcPr>
            <w:tcW w:w="223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 of 10</w:t>
            </w:r>
          </w:p>
        </w:tc>
        <w:tc>
          <w:tcPr>
            <w:tcW w:w="4297"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Spain: -€780/month vs. FWN benchmark</w:t>
            </w:r>
          </w:p>
        </w:tc>
      </w:tr>
      <w:tr>
        <w:trPr>
          <w:cantSplit/>
        </w:trPr>
        <w:tc>
          <w:tcPr>
            <w:tcW w:w="427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Remediation plan in place for gap sites</w:t>
            </w:r>
          </w:p>
        </w:tc>
        <w:tc>
          <w:tcPr>
            <w:tcW w:w="223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 progress</w:t>
            </w:r>
          </w:p>
        </w:tc>
        <w:tc>
          <w:tcPr>
            <w:tcW w:w="4297"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Spain gap under review by HR; target date Q3 2026</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living wage assessment will be reviewed and updated on a periodic basis to reflect updated benchmarks and any changes to employee compensation. Governance of remediation actions rests with the HR Department.</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7.  Freedom of Association &amp; Social Dialogue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respects all employees' right to join or refrain from joining labor unions or legally authorized associations without fear of intimidation or retaliation. Where employees are represented by a recognized union or workers' association, Vantage bargains in good faith, in accordance with applicable law.</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405"/>
        <w:gridCol w:w="2040"/>
        <w:gridCol w:w="3355"/>
      </w:tblGrid>
      <w:tr>
        <w:trPr>
          <w:cantSplit/>
          <w:tblHeader/>
        </w:trPr>
        <w:tc>
          <w:tcPr>
            <w:tcW w:w="540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04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335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540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Percentage of workforce covered by collective bargaining agreements</w:t>
            </w:r>
          </w:p>
        </w:tc>
        <w:tc>
          <w:tcPr>
            <w:tcW w:w="204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w:t>
            </w:r>
          </w:p>
        </w:tc>
        <w:tc>
          <w:tcPr>
            <w:tcW w:w="3355"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By headcount</w:t>
            </w:r>
          </w:p>
        </w:tc>
      </w:tr>
      <w:tr>
        <w:trPr>
          <w:cantSplit/>
        </w:trPr>
        <w:tc>
          <w:tcPr>
            <w:tcW w:w="540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 engagement survey conducted</w:t>
            </w:r>
          </w:p>
        </w:tc>
        <w:tc>
          <w:tcPr>
            <w:tcW w:w="204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Yes - 2024</w:t>
            </w:r>
          </w:p>
        </w:tc>
        <w:tc>
          <w:tcPr>
            <w:tcW w:w="3355" w:type="dxa"/>
            <w:vAlign w:val="top"/>
          </w:tcPr>
          <w:p>
            <w:pPr>
              <w:spacing w:before="0" w:after="0"/>
              <w:rPr>
                <w:rFonts w:ascii="Century Gothic" w:hAnsi="Century Gothic" w:cs="Century Gothic"/>
                <w:sz w:val="18"/>
                <w:szCs w:val="18"/>
              </w:rPr>
            </w:pPr>
          </w:p>
        </w:tc>
      </w:tr>
      <w:tr>
        <w:trPr>
          <w:cantSplit/>
        </w:trPr>
        <w:tc>
          <w:tcPr>
            <w:tcW w:w="540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Formal employee grievance mechanisms in place</w:t>
            </w:r>
          </w:p>
        </w:tc>
        <w:tc>
          <w:tcPr>
            <w:tcW w:w="204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Yes</w:t>
            </w:r>
          </w:p>
        </w:tc>
        <w:tc>
          <w:tcPr>
            <w:tcW w:w="3355"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EthicsPoint + direct HR reporting channels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8.  Qualitative Results Summary</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qualitative statements summarize Vantage's labor and human rights outcomes for the 2025 reporting period: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No confirmed incidents of forced labor, child labor, human trafficking, or modern slavery were identified across Vantage's operations or, to the best of the company's knowledge, its direct supply chain during the reporting period.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No confirmed corruption incidents were reported or substantiated during the reporting period.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No sanctions violations were identified.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No substantiated whistleblower reports related to corruption or bribery were received.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No work-related fatalities occurred during the reporting period.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 formal living wage assessment was completed in January 2026. Most sites are at or above the applicable living wage benchmark. One high-risk gap (Spain) has been identified, and a remediation review is underway.</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 Human Rights Policy was adopted and published in March 2025, referencing the UN Universal Declaration of Human Rights, ILO Core Conventions, and UN Guiding Principles on Business and Human Rights.</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9.  Improvement Actions — 2026</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actions are in progress or planned to further strengthen labor and human rights performance: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176"/>
        <w:gridCol w:w="2213"/>
        <w:gridCol w:w="3411"/>
      </w:tblGrid>
      <w:tr>
        <w:trPr>
          <w:cantSplit/>
          <w:tblHeader/>
        </w:trPr>
        <w:tc>
          <w:tcPr>
            <w:tcW w:w="517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21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Result</w:t>
            </w:r>
          </w:p>
        </w:tc>
        <w:tc>
          <w:tcPr>
            <w:tcW w:w="341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51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Require distributor acknowledgment of compliance policies</w:t>
            </w:r>
          </w:p>
        </w:tc>
        <w:tc>
          <w:tcPr>
            <w:tcW w:w="221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Q3 2026</w:t>
            </w:r>
          </w:p>
        </w:tc>
        <w:tc>
          <w:tcPr>
            <w:tcW w:w="341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Currently no formal requirement</w:t>
            </w:r>
          </w:p>
        </w:tc>
      </w:tr>
      <w:tr>
        <w:trPr>
          <w:cantSplit/>
        </w:trPr>
        <w:tc>
          <w:tcPr>
            <w:tcW w:w="51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Close Spain living wage gap</w:t>
            </w:r>
          </w:p>
        </w:tc>
        <w:tc>
          <w:tcPr>
            <w:tcW w:w="221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Q3 2026</w:t>
            </w:r>
          </w:p>
        </w:tc>
        <w:tc>
          <w:tcPr>
            <w:tcW w:w="341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HR-led remediation plan</w:t>
            </w:r>
          </w:p>
        </w:tc>
      </w:tr>
      <w:tr>
        <w:trPr>
          <w:cantSplit/>
        </w:trPr>
        <w:tc>
          <w:tcPr>
            <w:tcW w:w="51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Develop standalone career management &amp; training policy</w:t>
            </w:r>
          </w:p>
        </w:tc>
        <w:tc>
          <w:tcPr>
            <w:tcW w:w="221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Q2 2026</w:t>
            </w:r>
          </w:p>
        </w:tc>
        <w:tc>
          <w:tcPr>
            <w:tcW w:w="341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HR owner; EcoVadis corrective action</w:t>
            </w:r>
          </w:p>
        </w:tc>
      </w:tr>
      <w:tr>
        <w:trPr>
          <w:cantSplit/>
        </w:trPr>
        <w:tc>
          <w:tcPr>
            <w:tcW w:w="51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Develop social dialogue policy</w:t>
            </w:r>
          </w:p>
        </w:tc>
        <w:tc>
          <w:tcPr>
            <w:tcW w:w="221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Q3 2026</w:t>
            </w:r>
          </w:p>
        </w:tc>
        <w:tc>
          <w:tcPr>
            <w:tcW w:w="341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HR owner</w:t>
            </w:r>
          </w:p>
        </w:tc>
      </w:tr>
      <w:tr>
        <w:trPr>
          <w:cantSplit/>
        </w:trPr>
        <w:tc>
          <w:tcPr>
            <w:tcW w:w="5176"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Establish quantitative L&amp;HR performance targets</w:t>
            </w:r>
          </w:p>
        </w:tc>
        <w:tc>
          <w:tcPr>
            <w:tcW w:w="221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Q4 2026</w:t>
            </w:r>
          </w:p>
        </w:tc>
        <w:tc>
          <w:tcPr>
            <w:tcW w:w="3411" w:type="dxa"/>
            <w:vAlign w:val="top"/>
          </w:tcPr>
          <w:p>
            <w:pPr>
              <w:spacing w:before="0" w:after="0"/>
              <w:rPr>
                <w:rFonts w:ascii="Century Gothic" w:hAnsi="Century Gothic" w:cs="Century Gothic"/>
                <w:sz w:val="18"/>
                <w:szCs w:val="18"/>
              </w:rPr>
            </w:pPr>
            <w:r>
              <w:rPr>
                <w:rFonts w:ascii="Century Gothic" w:hAnsi="Century Gothic" w:cs="Century Gothic"/>
                <w:i/>
                <w:iCs/>
                <w:sz w:val="18"/>
                <w:szCs w:val="18"/>
              </w:rPr>
              <w:t xml:space="preserve">HR / Sustainability</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Vantage Specialty Chemicals  |  Labor &amp; Human Rights Results Statement  |  Reporting Period: 2025  |  Version 1.0</w:t>
      </w: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Labor &amp; Human Rights — Annual Results Statement</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 w:numId="900">
    <w:abstractNumId w:val="90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