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Layout w:type="fixed"/>
        <w:tblCellMar>
          <w:left w:w="80" w:type="dxa"/>
          <w:right w:w="80" w:type="dxa"/>
        </w:tblCellMar>
      </w:tblPr>
      <w:tblGrid>
        <w:gridCol w:w="4275"/>
        <w:gridCol w:w="4695"/>
        <w:gridCol w:w="1830"/>
      </w:tblGrid>
      <w:tr>
        <w:trPr>
          <w:trHeight w:val="1335"/>
        </w:trPr>
        <w:tc>
          <w:tcPr>
            <w:tcW w:w="4275" w:type="dxa"/>
            <w:tcBorders>
              <w:top w:val="single" w:sz="6" w:space="0" w:color="000000"/>
              <w:left w:val="single" w:sz="6" w:space="0" w:color="000000"/>
              <w:bottom w:val="single" w:sz="6" w:space="0" w:color="000000"/>
              <w:right w:val="single" w:sz="6" w:space="0" w:color="000000"/>
            </w:tcBorders>
            <w:vAlign w:val="center"/>
          </w:tcPr>
          <w:p>
            <w:pPr>
              <w:spacing w:before="0" w:after="0"/>
              <w:rPr>
                <w:rFonts w:ascii="Century Gothic" w:hAnsi="Century Gothic" w:cs="Century Gothic"/>
                <w:sz w:val="20"/>
                <w:szCs w:val="20"/>
              </w:rPr>
            </w:pPr>
            <w:r>
              <w:rPr>
                <w:noProof/>
              </w:rPr>
              <w:drawing>
                <wp:inline distT="0" distB="0" distL="0" distR="0">
                  <wp:extent cx="2343150" cy="666750"/>
                  <wp:effectExtent l="0" t="0" r="0" b="0"/>
                  <wp:docPr id="1001" name="Picture 1" descr="Vantage Specialty Chemical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2343150" cy="666750"/>
                          </a:xfrm>
                          <a:prstGeom prst="rect">
                            <a:avLst/>
                          </a:prstGeom>
                          <a:noFill/>
                          <a:ln>
                            <a:noFill/>
                          </a:ln>
                        </pic:spPr>
                      </pic:pic>
                    </a:graphicData>
                  </a:graphic>
                </wp:inline>
              </w:drawing>
            </w:r>
          </w:p>
        </w:tc>
        <w:tc>
          <w:tcPr>
            <w:tcW w:w="4695" w:type="dxa"/>
            <w:tcBorders>
              <w:top w:val="single" w:sz="6" w:space="0" w:color="000000"/>
              <w:left w:val="single" w:sz="6" w:space="0" w:color="000000"/>
              <w:bottom w:val="single" w:sz="6" w:space="0" w:color="000000"/>
              <w:right w:val="single" w:sz="6" w:space="0" w:color="000000"/>
            </w:tcBorders>
            <w:vAlign w:val="center"/>
          </w:tcPr>
          <w:p>
            <w:pPr>
              <w:spacing w:before="0" w:after="0"/>
              <w:rPr>
                <w:rFonts w:ascii="Century Gothic" w:hAnsi="Century Gothic" w:cs="Century Gothic"/>
                <w:sz w:val="20"/>
                <w:szCs w:val="20"/>
              </w:rPr>
            </w:pPr>
            <w:r>
              <w:rPr>
                <w:rFonts w:ascii="Century Gothic" w:hAnsi="Century Gothic" w:cs="Century Gothic"/>
                <w:b/>
                <w:bCs/>
                <w:sz w:val="20"/>
                <w:szCs w:val="20"/>
              </w:rPr>
              <w:t xml:space="preserve">Environmental Performance KPI Summary</w:t>
            </w:r>
          </w:p>
        </w:tc>
        <w:tc>
          <w:tcPr>
            <w:tcW w:w="1830" w:type="dxa"/>
            <w:tcBorders>
              <w:top w:val="single" w:sz="6" w:space="0" w:color="000000"/>
              <w:left w:val="single" w:sz="6" w:space="0" w:color="000000"/>
              <w:bottom w:val="single" w:sz="6" w:space="0" w:color="000000"/>
              <w:right w:val="single" w:sz="6" w:space="0" w:color="000000"/>
            </w:tcBorders>
            <w:vAlign w:val="center"/>
          </w:tcPr>
          <w:p>
            <w:pPr>
              <w:spacing w:before="0" w:after="0"/>
              <w:rPr>
                <w:rFonts w:ascii="Century Gothic" w:hAnsi="Century Gothic" w:cs="Century Gothic"/>
                <w:sz w:val="20"/>
                <w:szCs w:val="20"/>
              </w:rPr>
            </w:pPr>
          </w:p>
        </w:tc>
      </w:tr>
      <w:tr>
        <w:trPr>
          <w:trHeight w:val="240"/>
        </w:trPr>
        <w:tc>
          <w:tcPr>
            <w:tcW w:w="8970" w:type="dxa"/>
            <w:gridSpan w:val="2"/>
            <w:tcBorders>
              <w:top w:val="single" w:sz="6" w:space="0" w:color="000000"/>
              <w:left w:val="single" w:sz="6" w:space="0" w:color="000000"/>
              <w:bottom w:val="single" w:sz="6" w:space="0" w:color="000000"/>
              <w:right w:val="nil"/>
            </w:tcBorders>
            <w:vAlign w:val="center"/>
          </w:tcPr>
          <w:p>
            <w:pPr>
              <w:spacing w:before="0" w:after="0"/>
              <w:rPr>
                <w:rFonts w:ascii="Century Gothic" w:hAnsi="Century Gothic" w:cs="Century Gothic"/>
                <w:sz w:val="20"/>
                <w:szCs w:val="20"/>
              </w:rPr>
            </w:pPr>
            <w:r>
              <w:rPr>
                <w:rFonts w:ascii="Century Gothic" w:hAnsi="Century Gothic" w:cs="Century Gothic"/>
                <w:b/>
                <w:bCs/>
                <w:sz w:val="20"/>
                <w:szCs w:val="20"/>
              </w:rPr>
              <w:t xml:space="preserve">Document Owner: Sustainability</w:t>
            </w:r>
          </w:p>
        </w:tc>
        <w:tc>
          <w:tcPr>
            <w:tcW w:w="1830" w:type="dxa"/>
            <w:tcBorders>
              <w:top w:val="single" w:sz="6" w:space="0" w:color="000000"/>
              <w:left w:val="single" w:sz="6" w:space="0" w:color="000000"/>
              <w:bottom w:val="single" w:sz="6" w:space="0" w:color="000000"/>
              <w:right w:val="single" w:sz="6" w:space="0" w:color="000000"/>
            </w:tcBorders>
            <w:vAlign w:val="center"/>
          </w:tcPr>
          <w:p>
            <w:pPr>
              <w:spacing w:before="0" w:after="0"/>
              <w:rPr>
                <w:rFonts w:ascii="Century Gothic" w:hAnsi="Century Gothic" w:cs="Century Gothic"/>
                <w:sz w:val="20"/>
                <w:szCs w:val="20"/>
              </w:rPr>
            </w:pPr>
            <w:r>
              <w:rPr>
                <w:rFonts w:ascii="Century Gothic" w:hAnsi="Century Gothic" w:cs="Century Gothic"/>
                <w:b/>
                <w:bCs/>
                <w:sz w:val="20"/>
                <w:szCs w:val="20"/>
              </w:rPr>
              <w:t xml:space="preserve">Date: 08/18/2026</w:t>
            </w:r>
          </w:p>
        </w:tc>
      </w:tr>
    </w:tbl>
    <w:p>
      <w:pPr>
        <w:spacing w:before="0" w:after="12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Vantage Specialty Chemicals</w:t>
      </w:r>
    </w:p>
    <w:p>
      <w:pPr>
        <w:spacing w:before="0" w:after="120"/>
        <w:rPr>
          <w:rFonts w:ascii="Century Gothic" w:hAnsi="Century Gothic" w:cs="Century Gothic"/>
          <w:sz w:val="20"/>
          <w:szCs w:val="20"/>
        </w:rPr>
      </w:pPr>
      <w:r>
        <w:rPr>
          <w:rFonts w:ascii="Century Gothic" w:hAnsi="Century Gothic" w:cs="Century Gothic"/>
          <w:sz w:val="20"/>
          <w:szCs w:val="20"/>
        </w:rPr>
        <w:t xml:space="preserve">RY2025 Reporting Year (1 Jan – 31 Dec 2025)</w:t>
      </w:r>
    </w:p>
    <w:p>
      <w:pPr>
        <w:spacing w:before="0" w:after="120"/>
        <w:rPr>
          <w:rFonts w:ascii="Century Gothic" w:hAnsi="Century Gothic" w:cs="Century Gothic"/>
          <w:sz w:val="20"/>
          <w:szCs w:val="20"/>
        </w:rPr>
      </w:pPr>
      <w:r>
        <w:rPr>
          <w:rFonts w:ascii="Century Gothic" w:hAnsi="Century Gothic" w:cs="Century Gothic"/>
          <w:sz w:val="20"/>
          <w:szCs w:val="20"/>
        </w:rPr>
        <w:t xml:space="preserve">Global Operations (All Sites)</w:t>
      </w:r>
    </w:p>
    <w:p>
      <w:pPr>
        <w:spacing w:before="0" w:after="120"/>
        <w:rPr>
          <w:rFonts w:ascii="Century Gothic" w:hAnsi="Century Gothic" w:cs="Century Gothic"/>
          <w:sz w:val="20"/>
          <w:szCs w:val="20"/>
        </w:rPr>
      </w:pPr>
      <w:r>
        <w:rPr>
          <w:rFonts w:ascii="Century Gothic" w:hAnsi="Century Gothic" w:cs="Century Gothic"/>
          <w:sz w:val="20"/>
          <w:szCs w:val="20"/>
        </w:rPr>
        <w:t xml:space="preserve">Operational control boundary</w:t>
      </w:r>
    </w:p>
    <w:p>
      <w:pPr>
        <w:spacing w:before="0" w:after="4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Document Control</w:t>
            </w:r>
          </w:p>
        </w:tc>
      </w:tr>
    </w:tbl>
    <w:p>
      <w:pPr>
        <w:spacing w:before="0" w:after="80"/>
        <w:rPr>
          <w:rFonts w:ascii="Century Gothic" w:hAnsi="Century Gothic" w:cs="Century Gothic"/>
          <w:sz w:val="20"/>
          <w:szCs w:val="20"/>
        </w:rPr>
      </w:pP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3200"/>
        <w:gridCol w:w="7600"/>
      </w:tblGrid>
      <w:tr>
        <w:trPr>
          <w:cantSplit/>
        </w:trPr>
        <w:tc>
          <w:tcPr>
            <w:tcW w:w="3200" w:type="dxa"/>
            <w:vAlign w:val="top"/>
          </w:tcPr>
          <w:p>
            <w:pPr>
              <w:spacing w:before="0" w:after="0"/>
              <w:rPr>
                <w:rFonts w:ascii="Century Gothic" w:hAnsi="Century Gothic" w:cs="Century Gothic"/>
                <w:sz w:val="18"/>
                <w:szCs w:val="18"/>
              </w:rPr>
            </w:pPr>
            <w:r>
              <w:rPr>
                <w:rFonts w:ascii="Century Gothic" w:hAnsi="Century Gothic" w:cs="Century Gothic"/>
                <w:b/>
                <w:bCs/>
                <w:color w:val="098164"/>
                <w:sz w:val="18"/>
                <w:szCs w:val="18"/>
              </w:rPr>
              <w:t xml:space="preserve">Scope</w:t>
            </w:r>
          </w:p>
        </w:tc>
        <w:tc>
          <w:tcPr>
            <w:tcW w:w="7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All owned and directly managed manufacturing, processing, and farming sites globally</w:t>
            </w:r>
          </w:p>
        </w:tc>
      </w:tr>
      <w:tr>
        <w:trPr>
          <w:cantSplit/>
        </w:trPr>
        <w:tc>
          <w:tcPr>
            <w:tcW w:w="3200" w:type="dxa"/>
            <w:vAlign w:val="top"/>
          </w:tcPr>
          <w:p>
            <w:pPr>
              <w:spacing w:before="0" w:after="0"/>
              <w:rPr>
                <w:rFonts w:ascii="Century Gothic" w:hAnsi="Century Gothic" w:cs="Century Gothic"/>
                <w:sz w:val="18"/>
                <w:szCs w:val="18"/>
              </w:rPr>
            </w:pPr>
            <w:r>
              <w:rPr>
                <w:rFonts w:ascii="Century Gothic" w:hAnsi="Century Gothic" w:cs="Century Gothic"/>
                <w:b/>
                <w:bCs/>
                <w:color w:val="098164"/>
                <w:sz w:val="18"/>
                <w:szCs w:val="18"/>
              </w:rPr>
              <w:t xml:space="preserve">Methodology</w:t>
            </w:r>
          </w:p>
        </w:tc>
        <w:tc>
          <w:tcPr>
            <w:tcW w:w="7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GHG Protocol / CDP Water Security Framework</w:t>
            </w:r>
          </w:p>
        </w:tc>
      </w:tr>
    </w:tbl>
    <w:p>
      <w:pPr>
        <w:spacing w:before="0" w:after="140"/>
        <w:rPr>
          <w:rFonts w:ascii="Century Gothic" w:hAnsi="Century Gothic" w:cs="Century Gothic"/>
          <w:sz w:val="20"/>
          <w:szCs w:val="20"/>
        </w:rPr>
      </w:pP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1.  GREENHOUSE GAS EMISSIONS (SCOPE 1, 2 &amp; 3)</w:t>
            </w:r>
          </w:p>
        </w:tc>
      </w:tr>
    </w:tbl>
    <w:p>
      <w:pPr>
        <w:spacing w:before="0" w:after="80"/>
        <w:rPr>
          <w:rFonts w:ascii="Century Gothic" w:hAnsi="Century Gothic" w:cs="Century Gothic"/>
          <w:sz w:val="20"/>
          <w:szCs w:val="20"/>
        </w:rPr>
      </w:pP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3259"/>
        <w:gridCol w:w="1141"/>
        <w:gridCol w:w="733"/>
        <w:gridCol w:w="3712"/>
        <w:gridCol w:w="1955"/>
      </w:tblGrid>
      <w:tr>
        <w:trPr>
          <w:cantSplit/>
          <w:tblHeader/>
        </w:trPr>
        <w:tc>
          <w:tcPr>
            <w:tcW w:w="3259"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Emission Scope / Category</w:t>
            </w:r>
          </w:p>
        </w:tc>
        <w:tc>
          <w:tcPr>
            <w:tcW w:w="1141"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RY2025 Emissions</w:t>
            </w:r>
          </w:p>
        </w:tc>
        <w:tc>
          <w:tcPr>
            <w:tcW w:w="733"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Unit</w:t>
            </w:r>
          </w:p>
        </w:tc>
        <w:tc>
          <w:tcPr>
            <w:tcW w:w="3712"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Methodology &amp; Notes</w:t>
            </w:r>
          </w:p>
        </w:tc>
        <w:tc>
          <w:tcPr>
            <w:tcW w:w="1955"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Data Source</w:t>
            </w:r>
          </w:p>
        </w:tc>
      </w:tr>
      <w:tr>
        <w:trPr>
          <w:cantSplit/>
        </w:trPr>
        <w:tc>
          <w:tcPr>
            <w:tcW w:w="3259"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Scope 1 – Direct Emissions</w:t>
            </w:r>
          </w:p>
        </w:tc>
        <w:tc>
          <w:tcPr>
            <w:tcW w:w="114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59,464</w:t>
            </w:r>
          </w:p>
        </w:tc>
        <w:tc>
          <w:tcPr>
            <w:tcW w:w="733"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tCO₂e</w:t>
            </w:r>
          </w:p>
        </w:tc>
        <w:tc>
          <w:tcPr>
            <w:tcW w:w="37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Natural gas combustion (dominant), diesel, gasoline, propane, fertilizer</w:t>
            </w:r>
          </w:p>
        </w:tc>
        <w:tc>
          <w:tcPr>
            <w:tcW w:w="195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GHG Protocol / DEFRA</w:t>
            </w:r>
          </w:p>
        </w:tc>
      </w:tr>
      <w:tr>
        <w:trPr>
          <w:cantSplit/>
        </w:trPr>
        <w:tc>
          <w:tcPr>
            <w:tcW w:w="3259"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Scope 2 – Market-Based (Electricity &amp; Steam)</w:t>
            </w:r>
          </w:p>
        </w:tc>
        <w:tc>
          <w:tcPr>
            <w:tcW w:w="114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20,679</w:t>
            </w:r>
          </w:p>
        </w:tc>
        <w:tc>
          <w:tcPr>
            <w:tcW w:w="733"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tCO₂e</w:t>
            </w:r>
          </w:p>
        </w:tc>
        <w:tc>
          <w:tcPr>
            <w:tcW w:w="37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Electricity: 68,402 MWh · Steam: 30,583 MWh · No RECs retired in RY2025</w:t>
            </w:r>
          </w:p>
        </w:tc>
        <w:tc>
          <w:tcPr>
            <w:tcW w:w="195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GHG Protocol / IEA</w:t>
            </w:r>
          </w:p>
        </w:tc>
      </w:tr>
      <w:tr>
        <w:trPr>
          <w:cantSplit/>
        </w:trPr>
        <w:tc>
          <w:tcPr>
            <w:tcW w:w="3259"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Scope 2 – Location-Based</w:t>
            </w:r>
          </w:p>
        </w:tc>
        <w:tc>
          <w:tcPr>
            <w:tcW w:w="114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31,768</w:t>
            </w:r>
          </w:p>
        </w:tc>
        <w:tc>
          <w:tcPr>
            <w:tcW w:w="733"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tCO₂e</w:t>
            </w:r>
          </w:p>
        </w:tc>
        <w:tc>
          <w:tcPr>
            <w:tcW w:w="37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Grid-average basis; reported for transparency</w:t>
            </w:r>
          </w:p>
        </w:tc>
        <w:tc>
          <w:tcPr>
            <w:tcW w:w="195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GHG Protocol / IEA</w:t>
            </w:r>
          </w:p>
        </w:tc>
      </w:tr>
      <w:tr>
        <w:trPr>
          <w:cantSplit/>
        </w:trPr>
        <w:tc>
          <w:tcPr>
            <w:tcW w:w="3259"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Total Scope 1 + 2 (Market-Based)</w:t>
            </w:r>
          </w:p>
        </w:tc>
        <w:tc>
          <w:tcPr>
            <w:tcW w:w="1141"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80,144</w:t>
            </w:r>
          </w:p>
        </w:tc>
        <w:tc>
          <w:tcPr>
            <w:tcW w:w="733"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tCO₂e</w:t>
            </w:r>
          </w:p>
        </w:tc>
        <w:tc>
          <w:tcPr>
            <w:tcW w:w="37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–25% vs. 2021 baseline of 107,250 tCO₂e (a ~27,100 tCO₂e reduction)</w:t>
            </w:r>
          </w:p>
        </w:tc>
        <w:tc>
          <w:tcPr>
            <w:tcW w:w="195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GHG Protocol</w:t>
            </w:r>
          </w:p>
        </w:tc>
      </w:tr>
      <w:tr>
        <w:trPr>
          <w:cantSplit/>
        </w:trPr>
        <w:tc>
          <w:tcPr>
            <w:tcW w:w="3259" w:type="dxa"/>
            <w:vAlign w:val="top"/>
          </w:tcPr>
          <w:p>
            <w:pPr>
              <w:spacing w:before="0" w:after="0"/>
              <w:rPr>
                <w:rFonts w:ascii="Century Gothic" w:hAnsi="Century Gothic" w:cs="Century Gothic"/>
                <w:sz w:val="18"/>
                <w:szCs w:val="18"/>
              </w:rPr>
            </w:pPr>
            <w:r>
              <w:rPr>
                <w:rFonts w:ascii="Century Gothic" w:hAnsi="Century Gothic" w:cs="Century Gothic"/>
                <w:i/>
                <w:iCs/>
                <w:sz w:val="18"/>
                <w:szCs w:val="18"/>
              </w:rPr>
              <w:t xml:space="preserve">Scope 3 – Reported Categories (RY2025)</w:t>
            </w:r>
          </w:p>
        </w:tc>
        <w:tc>
          <w:tcPr>
            <w:tcW w:w="1141" w:type="dxa"/>
            <w:vAlign w:val="top"/>
          </w:tcPr>
          <w:p>
            <w:pPr>
              <w:spacing w:before="0" w:after="0"/>
              <w:rPr>
                <w:rFonts w:ascii="Century Gothic" w:hAnsi="Century Gothic" w:cs="Century Gothic"/>
                <w:sz w:val="18"/>
                <w:szCs w:val="18"/>
              </w:rPr>
            </w:pPr>
          </w:p>
        </w:tc>
        <w:tc>
          <w:tcPr>
            <w:tcW w:w="733" w:type="dxa"/>
            <w:vAlign w:val="top"/>
          </w:tcPr>
          <w:p>
            <w:pPr>
              <w:spacing w:before="0" w:after="0"/>
              <w:rPr>
                <w:rFonts w:ascii="Century Gothic" w:hAnsi="Century Gothic" w:cs="Century Gothic"/>
                <w:sz w:val="18"/>
                <w:szCs w:val="18"/>
              </w:rPr>
            </w:pPr>
          </w:p>
        </w:tc>
        <w:tc>
          <w:tcPr>
            <w:tcW w:w="3712" w:type="dxa"/>
            <w:vAlign w:val="top"/>
          </w:tcPr>
          <w:p>
            <w:pPr>
              <w:spacing w:before="0" w:after="0"/>
              <w:rPr>
                <w:rFonts w:ascii="Century Gothic" w:hAnsi="Century Gothic" w:cs="Century Gothic"/>
                <w:sz w:val="18"/>
                <w:szCs w:val="18"/>
              </w:rPr>
            </w:pPr>
          </w:p>
        </w:tc>
        <w:tc>
          <w:tcPr>
            <w:tcW w:w="1955" w:type="dxa"/>
            <w:vAlign w:val="top"/>
          </w:tcPr>
          <w:p>
            <w:pPr>
              <w:spacing w:before="0" w:after="0"/>
              <w:rPr>
                <w:rFonts w:ascii="Century Gothic" w:hAnsi="Century Gothic" w:cs="Century Gothic"/>
                <w:sz w:val="18"/>
                <w:szCs w:val="18"/>
              </w:rPr>
            </w:pPr>
          </w:p>
        </w:tc>
      </w:tr>
      <w:tr>
        <w:trPr>
          <w:cantSplit/>
        </w:trPr>
        <w:tc>
          <w:tcPr>
            <w:tcW w:w="3259"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  Cat. 1 – Purchased Goods &amp; Services</w:t>
            </w:r>
          </w:p>
        </w:tc>
        <w:tc>
          <w:tcPr>
            <w:tcW w:w="114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508,917</w:t>
            </w:r>
          </w:p>
        </w:tc>
        <w:tc>
          <w:tcPr>
            <w:tcW w:w="733"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tCO₂e</w:t>
            </w:r>
          </w:p>
        </w:tc>
        <w:tc>
          <w:tcPr>
            <w:tcW w:w="37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Largest category; includes raw material feedstocks (oleochemicals, fats)</w:t>
            </w:r>
          </w:p>
        </w:tc>
        <w:tc>
          <w:tcPr>
            <w:tcW w:w="195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US EPA EEIO / Ecoinvent</w:t>
            </w:r>
          </w:p>
        </w:tc>
      </w:tr>
      <w:tr>
        <w:trPr>
          <w:cantSplit/>
        </w:trPr>
        <w:tc>
          <w:tcPr>
            <w:tcW w:w="3259"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  Cat. 2 – Capital Goods</w:t>
            </w:r>
          </w:p>
        </w:tc>
        <w:tc>
          <w:tcPr>
            <w:tcW w:w="114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0</w:t>
            </w:r>
          </w:p>
        </w:tc>
        <w:tc>
          <w:tcPr>
            <w:tcW w:w="733"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tCO₂e</w:t>
            </w:r>
          </w:p>
        </w:tc>
        <w:tc>
          <w:tcPr>
            <w:tcW w:w="37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Relevant and calculated; no capital goods emissions reported in RY2025</w:t>
            </w:r>
          </w:p>
        </w:tc>
        <w:tc>
          <w:tcPr>
            <w:tcW w:w="195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US EPA EEIO</w:t>
            </w:r>
          </w:p>
        </w:tc>
      </w:tr>
      <w:tr>
        <w:trPr>
          <w:cantSplit/>
        </w:trPr>
        <w:tc>
          <w:tcPr>
            <w:tcW w:w="3259"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  Cat. 3 – Fuel &amp; Energy-Related Activities</w:t>
            </w:r>
          </w:p>
        </w:tc>
        <w:tc>
          <w:tcPr>
            <w:tcW w:w="114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17,017</w:t>
            </w:r>
          </w:p>
        </w:tc>
        <w:tc>
          <w:tcPr>
            <w:tcW w:w="733"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tCO₂e</w:t>
            </w:r>
          </w:p>
        </w:tc>
        <w:tc>
          <w:tcPr>
            <w:tcW w:w="37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Upstream T&amp;D losses for electricity, steam, and natural gas</w:t>
            </w:r>
          </w:p>
        </w:tc>
        <w:tc>
          <w:tcPr>
            <w:tcW w:w="195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IEA / DEFRA</w:t>
            </w:r>
          </w:p>
        </w:tc>
      </w:tr>
      <w:tr>
        <w:trPr>
          <w:cantSplit/>
        </w:trPr>
        <w:tc>
          <w:tcPr>
            <w:tcW w:w="3259"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  Cat. 4 – Upstream Transportation &amp; Distribution</w:t>
            </w:r>
          </w:p>
        </w:tc>
        <w:tc>
          <w:tcPr>
            <w:tcW w:w="114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19,222</w:t>
            </w:r>
          </w:p>
        </w:tc>
        <w:tc>
          <w:tcPr>
            <w:tcW w:w="733"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tCO₂e</w:t>
            </w:r>
          </w:p>
        </w:tc>
        <w:tc>
          <w:tcPr>
            <w:tcW w:w="37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Inbound freight (road, rail, ocean, air)</w:t>
            </w:r>
          </w:p>
        </w:tc>
        <w:tc>
          <w:tcPr>
            <w:tcW w:w="195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DEFRA / US EPA EEIO</w:t>
            </w:r>
          </w:p>
        </w:tc>
      </w:tr>
      <w:tr>
        <w:trPr>
          <w:cantSplit/>
        </w:trPr>
        <w:tc>
          <w:tcPr>
            <w:tcW w:w="3259"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  Cat. 5 – Waste Generated in Operations</w:t>
            </w:r>
          </w:p>
        </w:tc>
        <w:tc>
          <w:tcPr>
            <w:tcW w:w="114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3,759</w:t>
            </w:r>
          </w:p>
        </w:tc>
        <w:tc>
          <w:tcPr>
            <w:tcW w:w="733"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tCO₂e</w:t>
            </w:r>
          </w:p>
        </w:tc>
        <w:tc>
          <w:tcPr>
            <w:tcW w:w="37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Solid waste landfill &amp; incineration; see Section 4 for waste volumes</w:t>
            </w:r>
          </w:p>
        </w:tc>
        <w:tc>
          <w:tcPr>
            <w:tcW w:w="195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DEFRA</w:t>
            </w:r>
          </w:p>
        </w:tc>
      </w:tr>
      <w:tr>
        <w:trPr>
          <w:cantSplit/>
        </w:trPr>
        <w:tc>
          <w:tcPr>
            <w:tcW w:w="3259"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  Cat. 6 – Business Travel</w:t>
            </w:r>
          </w:p>
        </w:tc>
        <w:tc>
          <w:tcPr>
            <w:tcW w:w="114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354</w:t>
            </w:r>
          </w:p>
        </w:tc>
        <w:tc>
          <w:tcPr>
            <w:tcW w:w="733"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tCO₂e</w:t>
            </w:r>
          </w:p>
        </w:tc>
        <w:tc>
          <w:tcPr>
            <w:tcW w:w="37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Air and car travel</w:t>
            </w:r>
          </w:p>
        </w:tc>
        <w:tc>
          <w:tcPr>
            <w:tcW w:w="195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US EPA EEIO</w:t>
            </w:r>
          </w:p>
        </w:tc>
      </w:tr>
      <w:tr>
        <w:trPr>
          <w:cantSplit/>
        </w:trPr>
        <w:tc>
          <w:tcPr>
            <w:tcW w:w="3259"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  Cat. 7 – Employee Commuting</w:t>
            </w:r>
          </w:p>
        </w:tc>
        <w:tc>
          <w:tcPr>
            <w:tcW w:w="114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1,605</w:t>
            </w:r>
          </w:p>
        </w:tc>
        <w:tc>
          <w:tcPr>
            <w:tcW w:w="733"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tCO₂e</w:t>
            </w:r>
          </w:p>
        </w:tc>
        <w:tc>
          <w:tcPr>
            <w:tcW w:w="37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Employee commuting and remote working</w:t>
            </w:r>
          </w:p>
        </w:tc>
        <w:tc>
          <w:tcPr>
            <w:tcW w:w="195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US EPA EEIO / DEFRA</w:t>
            </w:r>
          </w:p>
        </w:tc>
      </w:tr>
      <w:tr>
        <w:trPr>
          <w:cantSplit/>
        </w:trPr>
        <w:tc>
          <w:tcPr>
            <w:tcW w:w="3259"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  Cat. 8 – Upstream Leased Assets</w:t>
            </w:r>
          </w:p>
        </w:tc>
        <w:tc>
          <w:tcPr>
            <w:tcW w:w="114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253</w:t>
            </w:r>
          </w:p>
        </w:tc>
        <w:tc>
          <w:tcPr>
            <w:tcW w:w="733"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tCO₂e</w:t>
            </w:r>
          </w:p>
        </w:tc>
        <w:tc>
          <w:tcPr>
            <w:tcW w:w="37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Leased offices and warehouses outside the Scope 1 / 2 boundary</w:t>
            </w:r>
          </w:p>
        </w:tc>
        <w:tc>
          <w:tcPr>
            <w:tcW w:w="195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US EPA EEIO</w:t>
            </w:r>
          </w:p>
        </w:tc>
      </w:tr>
      <w:tr>
        <w:trPr>
          <w:cantSplit/>
        </w:trPr>
        <w:tc>
          <w:tcPr>
            <w:tcW w:w="3259"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  Cat. 11 – Use of Sold Products</w:t>
            </w:r>
          </w:p>
        </w:tc>
        <w:tc>
          <w:tcPr>
            <w:tcW w:w="114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175</w:t>
            </w:r>
          </w:p>
        </w:tc>
        <w:tc>
          <w:tcPr>
            <w:tcW w:w="733"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tCO₂e</w:t>
            </w:r>
          </w:p>
        </w:tc>
        <w:tc>
          <w:tcPr>
            <w:tcW w:w="37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Emissions from direct-use products (refrigerant-containing formulations)</w:t>
            </w:r>
          </w:p>
        </w:tc>
        <w:tc>
          <w:tcPr>
            <w:tcW w:w="195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Product Specific</w:t>
            </w:r>
          </w:p>
        </w:tc>
      </w:tr>
      <w:tr>
        <w:trPr>
          <w:cantSplit/>
        </w:trPr>
        <w:tc>
          <w:tcPr>
            <w:tcW w:w="3259"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  Cat. 12 – End-of-Life of Sold Products</w:t>
            </w:r>
          </w:p>
        </w:tc>
        <w:tc>
          <w:tcPr>
            <w:tcW w:w="114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38,556</w:t>
            </w:r>
          </w:p>
        </w:tc>
        <w:tc>
          <w:tcPr>
            <w:tcW w:w="733"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tCO₂e</w:t>
            </w:r>
          </w:p>
        </w:tc>
        <w:tc>
          <w:tcPr>
            <w:tcW w:w="37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Landfill, incineration, compost treatment of sold product volumes</w:t>
            </w:r>
          </w:p>
        </w:tc>
        <w:tc>
          <w:tcPr>
            <w:tcW w:w="195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DEFRA</w:t>
            </w:r>
          </w:p>
        </w:tc>
      </w:tr>
      <w:tr>
        <w:trPr>
          <w:cantSplit/>
        </w:trPr>
        <w:tc>
          <w:tcPr>
            <w:tcW w:w="3259"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Total Scope 3 (Reported Categories)</w:t>
            </w:r>
          </w:p>
        </w:tc>
        <w:tc>
          <w:tcPr>
            <w:tcW w:w="1141"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589,858</w:t>
            </w:r>
          </w:p>
        </w:tc>
        <w:tc>
          <w:tcPr>
            <w:tcW w:w="733"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tCO₂e</w:t>
            </w:r>
          </w:p>
        </w:tc>
        <w:tc>
          <w:tcPr>
            <w:tcW w:w="37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–27% vs. FY2024 (809,437 tCO₂e) — see methodology note</w:t>
            </w:r>
          </w:p>
        </w:tc>
        <w:tc>
          <w:tcPr>
            <w:tcW w:w="195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GHG Protocol</w:t>
            </w:r>
          </w:p>
        </w:tc>
      </w:tr>
    </w:tbl>
    <w:p>
      <w:pPr>
        <w:spacing w:before="0" w:after="10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i/>
          <w:iCs/>
          <w:sz w:val="20"/>
          <w:szCs w:val="20"/>
        </w:rPr>
        <w:t xml:space="preserve">ⓘ Scope 1 &amp; 2 market-based emissions are down 25% against the 2021 baseline (107,250 → 80,144 tCO₂e), meeting the –20% absolute reduction target five years ahead of its 2030 end date (CDP 7.53.1 target status: Achieved). A successor target is in development; CDP reports Vantage anticipates setting a science-based target within two years. The RY2025 Scope 3 total is not directly comparable with FY2024: Category 1 is spend-based (EEIO / CEDA) and reflects updated emission factors and procurement spend, and Categories 2, 7 and 8 are newly reported this year. Treat the year-over-year Scope 3 movement as a methodology and coverage change rather than a verified physical reduction.</w:t>
      </w: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2.  ENERGY CONSUMPTION</w:t>
            </w:r>
          </w:p>
        </w:tc>
      </w:tr>
    </w:tbl>
    <w:p>
      <w:pPr>
        <w:spacing w:before="0" w:after="80"/>
        <w:rPr>
          <w:rFonts w:ascii="Century Gothic" w:hAnsi="Century Gothic" w:cs="Century Gothic"/>
          <w:sz w:val="20"/>
          <w:szCs w:val="20"/>
        </w:rPr>
      </w:pP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2652"/>
        <w:gridCol w:w="1364"/>
        <w:gridCol w:w="606"/>
        <w:gridCol w:w="6178"/>
      </w:tblGrid>
      <w:tr>
        <w:trPr>
          <w:cantSplit/>
          <w:tblHeader/>
        </w:trPr>
        <w:tc>
          <w:tcPr>
            <w:tcW w:w="2652"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Energy Source</w:t>
            </w:r>
          </w:p>
        </w:tc>
        <w:tc>
          <w:tcPr>
            <w:tcW w:w="1364"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RY2025 Volume</w:t>
            </w:r>
          </w:p>
        </w:tc>
        <w:tc>
          <w:tcPr>
            <w:tcW w:w="606"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Unit</w:t>
            </w:r>
          </w:p>
        </w:tc>
        <w:tc>
          <w:tcPr>
            <w:tcW w:w="6178"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Notes</w:t>
            </w:r>
          </w:p>
        </w:tc>
      </w:tr>
      <w:tr>
        <w:trPr>
          <w:cantSplit/>
        </w:trPr>
        <w:tc>
          <w:tcPr>
            <w:tcW w:w="2652"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Gas – Natural Gas, Propane &amp; LPG (Scope 1)</w:t>
            </w:r>
          </w:p>
        </w:tc>
        <w:tc>
          <w:tcPr>
            <w:tcW w:w="136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326,296</w:t>
            </w:r>
          </w:p>
        </w:tc>
        <w:tc>
          <w:tcPr>
            <w:tcW w:w="606"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MWh</w:t>
            </w:r>
          </w:p>
        </w:tc>
        <w:tc>
          <w:tcPr>
            <w:tcW w:w="6178"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Primary thermal energy source across US and European manufacturing sites</w:t>
            </w:r>
          </w:p>
        </w:tc>
      </w:tr>
      <w:tr>
        <w:trPr>
          <w:cantSplit/>
        </w:trPr>
        <w:tc>
          <w:tcPr>
            <w:tcW w:w="2652"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Electricity – Purchased (Scope 2)</w:t>
            </w:r>
          </w:p>
        </w:tc>
        <w:tc>
          <w:tcPr>
            <w:tcW w:w="136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68,402</w:t>
            </w:r>
          </w:p>
        </w:tc>
        <w:tc>
          <w:tcPr>
            <w:tcW w:w="606"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MWh</w:t>
            </w:r>
          </w:p>
        </w:tc>
        <w:tc>
          <w:tcPr>
            <w:tcW w:w="6178"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Grid electricity across all global sites</w:t>
            </w:r>
          </w:p>
        </w:tc>
      </w:tr>
      <w:tr>
        <w:trPr>
          <w:cantSplit/>
        </w:trPr>
        <w:tc>
          <w:tcPr>
            <w:tcW w:w="2652"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Steam – Purchased (Scope 2)</w:t>
            </w:r>
          </w:p>
        </w:tc>
        <w:tc>
          <w:tcPr>
            <w:tcW w:w="136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30,583</w:t>
            </w:r>
          </w:p>
        </w:tc>
        <w:tc>
          <w:tcPr>
            <w:tcW w:w="606"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MWh</w:t>
            </w:r>
          </w:p>
        </w:tc>
        <w:tc>
          <w:tcPr>
            <w:tcW w:w="6178"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Purchased steam (Leuna, Germany and US facilities)</w:t>
            </w:r>
          </w:p>
        </w:tc>
      </w:tr>
      <w:tr>
        <w:trPr>
          <w:cantSplit/>
        </w:trPr>
        <w:tc>
          <w:tcPr>
            <w:tcW w:w="2652"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Oil – Diesel &amp; Gasoline (Scope 1)</w:t>
            </w:r>
          </w:p>
        </w:tc>
        <w:tc>
          <w:tcPr>
            <w:tcW w:w="136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691</w:t>
            </w:r>
          </w:p>
        </w:tc>
        <w:tc>
          <w:tcPr>
            <w:tcW w:w="606"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MWh</w:t>
            </w:r>
          </w:p>
        </w:tc>
        <w:tc>
          <w:tcPr>
            <w:tcW w:w="6178"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Fleet and equipment fuel</w:t>
            </w:r>
          </w:p>
        </w:tc>
      </w:tr>
      <w:tr>
        <w:trPr>
          <w:cantSplit/>
        </w:trPr>
        <w:tc>
          <w:tcPr>
            <w:tcW w:w="2652"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Self-Generated Renewable (Solar)</w:t>
            </w:r>
          </w:p>
        </w:tc>
        <w:tc>
          <w:tcPr>
            <w:tcW w:w="136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1,500</w:t>
            </w:r>
          </w:p>
        </w:tc>
        <w:tc>
          <w:tcPr>
            <w:tcW w:w="606"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MWh</w:t>
            </w:r>
          </w:p>
        </w:tc>
        <w:tc>
          <w:tcPr>
            <w:tcW w:w="6178"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On-site solar generation consumed on site (Argentina operations)</w:t>
            </w:r>
          </w:p>
        </w:tc>
      </w:tr>
      <w:tr>
        <w:trPr>
          <w:cantSplit/>
        </w:trPr>
        <w:tc>
          <w:tcPr>
            <w:tcW w:w="2652"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Total Energy Consumed</w:t>
            </w:r>
          </w:p>
        </w:tc>
        <w:tc>
          <w:tcPr>
            <w:tcW w:w="136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427,472</w:t>
            </w:r>
          </w:p>
        </w:tc>
        <w:tc>
          <w:tcPr>
            <w:tcW w:w="606"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MWh</w:t>
            </w:r>
          </w:p>
        </w:tc>
        <w:tc>
          <w:tcPr>
            <w:tcW w:w="6178"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Scope 1 fuels + Scope 2 electricity &amp; steam + self-generated renewable</w:t>
            </w:r>
          </w:p>
        </w:tc>
      </w:tr>
    </w:tbl>
    <w:p>
      <w:pPr>
        <w:spacing w:before="0" w:after="10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i/>
          <w:iCs/>
          <w:sz w:val="20"/>
          <w:szCs w:val="20"/>
        </w:rPr>
        <w:t xml:space="preserve">ⓘ Gaseous fuels (natural gas, propane, LPG) account for ~76% of total energy and &gt;99% of Scope 1 combustion emissions. On-site solar at Argentina operations generated 1,500 MWh in RY2025. No renewable energy credits were retired in RY2025 — CDP reports 0 MWh of renewable purchased electricity, against 478 MWh of RECs in FY2024.</w:t>
      </w: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3.  WATER WITHDRAWAL, DISCHARGE &amp; CONSUMPTION  (CDP Water Security – RY2025)</w:t>
            </w:r>
          </w:p>
        </w:tc>
      </w:tr>
    </w:tbl>
    <w:p>
      <w:pPr>
        <w:spacing w:before="0" w:after="80"/>
        <w:rPr>
          <w:rFonts w:ascii="Century Gothic" w:hAnsi="Century Gothic" w:cs="Century Gothic"/>
          <w:sz w:val="20"/>
          <w:szCs w:val="20"/>
        </w:rPr>
      </w:pP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3a.  Water Withdrawal by Source</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2607"/>
        <w:gridCol w:w="1304"/>
        <w:gridCol w:w="815"/>
        <w:gridCol w:w="6074"/>
      </w:tblGrid>
      <w:tr>
        <w:trPr>
          <w:cantSplit/>
          <w:tblHeader/>
        </w:trPr>
        <w:tc>
          <w:tcPr>
            <w:tcW w:w="2607"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Water Source</w:t>
            </w:r>
          </w:p>
        </w:tc>
        <w:tc>
          <w:tcPr>
            <w:tcW w:w="1304"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RY2025 Volume</w:t>
            </w:r>
          </w:p>
        </w:tc>
        <w:tc>
          <w:tcPr>
            <w:tcW w:w="815"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Unit</w:t>
            </w:r>
          </w:p>
        </w:tc>
        <w:tc>
          <w:tcPr>
            <w:tcW w:w="6074"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Notes &amp; Site Details</w:t>
            </w:r>
          </w:p>
        </w:tc>
      </w:tr>
      <w:tr>
        <w:trPr>
          <w:cantSplit/>
        </w:trPr>
        <w:tc>
          <w:tcPr>
            <w:tcW w:w="2607"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Surface Water (Freshwater)</w:t>
            </w:r>
          </w:p>
        </w:tc>
        <w:tc>
          <w:tcPr>
            <w:tcW w:w="130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40.36</w:t>
            </w:r>
          </w:p>
        </w:tc>
        <w:tc>
          <w:tcPr>
            <w:tcW w:w="81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ML</w:t>
            </w:r>
          </w:p>
        </w:tc>
        <w:tc>
          <w:tcPr>
            <w:tcW w:w="607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Leuna, Germany (Elbe basin) – cooling water intake from river</w:t>
            </w:r>
          </w:p>
        </w:tc>
      </w:tr>
      <w:tr>
        <w:trPr>
          <w:cantSplit/>
        </w:trPr>
        <w:tc>
          <w:tcPr>
            <w:tcW w:w="2607"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Groundwater</w:t>
            </w:r>
          </w:p>
        </w:tc>
        <w:tc>
          <w:tcPr>
            <w:tcW w:w="130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7,261.31</w:t>
            </w:r>
          </w:p>
        </w:tc>
        <w:tc>
          <w:tcPr>
            <w:tcW w:w="81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ML</w:t>
            </w:r>
          </w:p>
        </w:tc>
        <w:tc>
          <w:tcPr>
            <w:tcW w:w="607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Agrinsa farm, Argentina (5,070 ML) · Dateland farm, AZ (2,191 ML) · primary source for agricultural operations</w:t>
            </w:r>
          </w:p>
        </w:tc>
      </w:tr>
      <w:tr>
        <w:trPr>
          <w:cantSplit/>
        </w:trPr>
        <w:tc>
          <w:tcPr>
            <w:tcW w:w="2607"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Third-Party / Municipal Supply</w:t>
            </w:r>
          </w:p>
        </w:tc>
        <w:tc>
          <w:tcPr>
            <w:tcW w:w="130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706.91</w:t>
            </w:r>
          </w:p>
        </w:tc>
        <w:tc>
          <w:tcPr>
            <w:tcW w:w="81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ML</w:t>
            </w:r>
          </w:p>
        </w:tc>
        <w:tc>
          <w:tcPr>
            <w:tcW w:w="607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All manufacturing and office sites globally; dominant source for US factories and international offices</w:t>
            </w:r>
          </w:p>
        </w:tc>
      </w:tr>
      <w:tr>
        <w:trPr>
          <w:cantSplit/>
        </w:trPr>
        <w:tc>
          <w:tcPr>
            <w:tcW w:w="2607"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Recycled / Recirculated Water</w:t>
            </w:r>
          </w:p>
        </w:tc>
        <w:tc>
          <w:tcPr>
            <w:tcW w:w="130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16.05</w:t>
            </w:r>
          </w:p>
        </w:tc>
        <w:tc>
          <w:tcPr>
            <w:tcW w:w="81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ML</w:t>
            </w:r>
          </w:p>
        </w:tc>
        <w:tc>
          <w:tcPr>
            <w:tcW w:w="607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Leuna, Germany – condensation and purified water recirculated on-site</w:t>
            </w:r>
          </w:p>
        </w:tc>
      </w:tr>
      <w:tr>
        <w:trPr>
          <w:cantSplit/>
        </w:trPr>
        <w:tc>
          <w:tcPr>
            <w:tcW w:w="2607"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Total Water Withdrawn</w:t>
            </w:r>
          </w:p>
        </w:tc>
        <w:tc>
          <w:tcPr>
            <w:tcW w:w="130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8,008.57</w:t>
            </w:r>
          </w:p>
        </w:tc>
        <w:tc>
          <w:tcPr>
            <w:tcW w:w="81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ML</w:t>
            </w:r>
          </w:p>
        </w:tc>
        <w:tc>
          <w:tcPr>
            <w:tcW w:w="607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All sites · Excludes 16.05 ML recycled/recirculated water, consistent with the CDP total withdrawal figure</w:t>
            </w:r>
          </w:p>
        </w:tc>
      </w:tr>
    </w:tbl>
    <w:p>
      <w:pPr>
        <w:spacing w:before="0" w:after="100"/>
        <w:rPr>
          <w:rFonts w:ascii="Century Gothic" w:hAnsi="Century Gothic" w:cs="Century Gothic"/>
          <w:sz w:val="20"/>
          <w:szCs w:val="20"/>
        </w:rPr>
      </w:pP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3b.  Water Withdrawal by Stress Level (WWF Water Risk Filter)</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1792"/>
        <w:gridCol w:w="1304"/>
        <w:gridCol w:w="1304"/>
        <w:gridCol w:w="6400"/>
      </w:tblGrid>
      <w:tr>
        <w:trPr>
          <w:cantSplit/>
          <w:tblHeader/>
        </w:trPr>
        <w:tc>
          <w:tcPr>
            <w:tcW w:w="1792"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Water Stress Category</w:t>
            </w:r>
          </w:p>
        </w:tc>
        <w:tc>
          <w:tcPr>
            <w:tcW w:w="1304"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RY2025 Volume</w:t>
            </w:r>
          </w:p>
        </w:tc>
        <w:tc>
          <w:tcPr>
            <w:tcW w:w="1304"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Unit</w:t>
            </w:r>
          </w:p>
        </w:tc>
        <w:tc>
          <w:tcPr>
            <w:tcW w:w="6400"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Sites Included</w:t>
            </w:r>
          </w:p>
        </w:tc>
      </w:tr>
      <w:tr>
        <w:trPr>
          <w:cantSplit/>
        </w:trPr>
        <w:tc>
          <w:tcPr>
            <w:tcW w:w="1792"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High Water Stress</w:t>
            </w:r>
          </w:p>
        </w:tc>
        <w:tc>
          <w:tcPr>
            <w:tcW w:w="130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2,239.49</w:t>
            </w:r>
          </w:p>
        </w:tc>
        <w:tc>
          <w:tcPr>
            <w:tcW w:w="130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ML</w:t>
            </w:r>
          </w:p>
        </w:tc>
        <w:tc>
          <w:tcPr>
            <w:tcW w:w="64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Dateland AZ (Colorado basin), Tucson AZ (Colorado basin), Les Borges Spain (Ebro basin), Leuna Germany (Elbe basin), Fairfield NJ (North Atlantic basin) — WWF water stress rating</w:t>
            </w:r>
          </w:p>
        </w:tc>
      </w:tr>
      <w:tr>
        <w:trPr>
          <w:cantSplit/>
        </w:trPr>
        <w:tc>
          <w:tcPr>
            <w:tcW w:w="1792"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High Water Risk</w:t>
            </w:r>
          </w:p>
        </w:tc>
        <w:tc>
          <w:tcPr>
            <w:tcW w:w="130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2,919.39</w:t>
            </w:r>
          </w:p>
        </w:tc>
        <w:tc>
          <w:tcPr>
            <w:tcW w:w="130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ML</w:t>
            </w:r>
          </w:p>
        </w:tc>
        <w:tc>
          <w:tcPr>
            <w:tcW w:w="64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Chicago IL, Gurnee IL, Dateland AZ, Tucson AZ, Englewood OH, Les Borges Spain, Leuna Germany — WWF combined water risk rating</w:t>
            </w:r>
          </w:p>
        </w:tc>
      </w:tr>
      <w:tr>
        <w:trPr>
          <w:cantSplit/>
        </w:trPr>
        <w:tc>
          <w:tcPr>
            <w:tcW w:w="1792"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Medium / Not Assessed</w:t>
            </w:r>
          </w:p>
        </w:tc>
        <w:tc>
          <w:tcPr>
            <w:tcW w:w="130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5,089.18</w:t>
            </w:r>
          </w:p>
        </w:tc>
        <w:tc>
          <w:tcPr>
            <w:tcW w:w="130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ML</w:t>
            </w:r>
          </w:p>
        </w:tc>
        <w:tc>
          <w:tcPr>
            <w:tcW w:w="64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Agrinsa Argentina and Carnegie PA (medium), Fairfield NJ (medium risk), warehouse/office locations globally (not assessed)</w:t>
            </w:r>
          </w:p>
        </w:tc>
      </w:tr>
    </w:tbl>
    <w:p>
      <w:pPr>
        <w:spacing w:before="0" w:after="100"/>
        <w:rPr>
          <w:rFonts w:ascii="Century Gothic" w:hAnsi="Century Gothic" w:cs="Century Gothic"/>
          <w:sz w:val="20"/>
          <w:szCs w:val="20"/>
        </w:rPr>
      </w:pP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3c.  Water Discharge by Pathway</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2607"/>
        <w:gridCol w:w="1304"/>
        <w:gridCol w:w="815"/>
        <w:gridCol w:w="6074"/>
      </w:tblGrid>
      <w:tr>
        <w:trPr>
          <w:cantSplit/>
          <w:tblHeader/>
        </w:trPr>
        <w:tc>
          <w:tcPr>
            <w:tcW w:w="2607"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Discharge Pathway</w:t>
            </w:r>
          </w:p>
        </w:tc>
        <w:tc>
          <w:tcPr>
            <w:tcW w:w="1304"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RY2025 Volume</w:t>
            </w:r>
          </w:p>
        </w:tc>
        <w:tc>
          <w:tcPr>
            <w:tcW w:w="815"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Unit</w:t>
            </w:r>
          </w:p>
        </w:tc>
        <w:tc>
          <w:tcPr>
            <w:tcW w:w="6074"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Notes</w:t>
            </w:r>
          </w:p>
        </w:tc>
      </w:tr>
      <w:tr>
        <w:trPr>
          <w:cantSplit/>
        </w:trPr>
        <w:tc>
          <w:tcPr>
            <w:tcW w:w="2607"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Discharge to Groundwater (nature, no treatment)</w:t>
            </w:r>
          </w:p>
        </w:tc>
        <w:tc>
          <w:tcPr>
            <w:tcW w:w="130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3,630.65</w:t>
            </w:r>
          </w:p>
        </w:tc>
        <w:tc>
          <w:tcPr>
            <w:tcW w:w="81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ML</w:t>
            </w:r>
          </w:p>
        </w:tc>
        <w:tc>
          <w:tcPr>
            <w:tcW w:w="607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Agrinsa (2,535 ML) and Dateland (1,096 ML) farms – irrigation return to soil/groundwater</w:t>
            </w:r>
          </w:p>
        </w:tc>
      </w:tr>
      <w:tr>
        <w:trPr>
          <w:cantSplit/>
        </w:trPr>
        <w:tc>
          <w:tcPr>
            <w:tcW w:w="2607"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Discharge to Third-Party Treatment</w:t>
            </w:r>
          </w:p>
        </w:tc>
        <w:tc>
          <w:tcPr>
            <w:tcW w:w="130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497.99</w:t>
            </w:r>
          </w:p>
        </w:tc>
        <w:tc>
          <w:tcPr>
            <w:tcW w:w="81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ML</w:t>
            </w:r>
          </w:p>
        </w:tc>
        <w:tc>
          <w:tcPr>
            <w:tcW w:w="607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US manufacturing sites (Chicago, Gurnee, Englewood, Fairfield, Carnegie, Tucson) – municipal wastewater systems</w:t>
            </w:r>
          </w:p>
        </w:tc>
      </w:tr>
      <w:tr>
        <w:trPr>
          <w:cantSplit/>
        </w:trPr>
        <w:tc>
          <w:tcPr>
            <w:tcW w:w="2607"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Discharge to Surface Water (Leuna, river – cooling)</w:t>
            </w:r>
          </w:p>
        </w:tc>
        <w:tc>
          <w:tcPr>
            <w:tcW w:w="130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35.55</w:t>
            </w:r>
          </w:p>
        </w:tc>
        <w:tc>
          <w:tcPr>
            <w:tcW w:w="81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ML</w:t>
            </w:r>
          </w:p>
        </w:tc>
        <w:tc>
          <w:tcPr>
            <w:tcW w:w="607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Leuna, Germany – direct discharge of cooling water to Elbe river basin; compliant with industrial emission permits</w:t>
            </w:r>
          </w:p>
        </w:tc>
      </w:tr>
      <w:tr>
        <w:trPr>
          <w:cantSplit/>
        </w:trPr>
        <w:tc>
          <w:tcPr>
            <w:tcW w:w="2607"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Receiving Primary Treatment (3 sites)</w:t>
            </w:r>
          </w:p>
        </w:tc>
        <w:tc>
          <w:tcPr>
            <w:tcW w:w="130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498.00</w:t>
            </w:r>
          </w:p>
        </w:tc>
        <w:tc>
          <w:tcPr>
            <w:tcW w:w="81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ML</w:t>
            </w:r>
          </w:p>
        </w:tc>
        <w:tc>
          <w:tcPr>
            <w:tcW w:w="607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Primary treatment only; no secondary, tertiary or quaternary treatment reported (CDP 9.2.9)</w:t>
            </w:r>
          </w:p>
        </w:tc>
      </w:tr>
      <w:tr>
        <w:trPr>
          <w:cantSplit/>
        </w:trPr>
        <w:tc>
          <w:tcPr>
            <w:tcW w:w="2607"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Total Water Discharged</w:t>
            </w:r>
          </w:p>
        </w:tc>
        <w:tc>
          <w:tcPr>
            <w:tcW w:w="130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4,164.20</w:t>
            </w:r>
          </w:p>
        </w:tc>
        <w:tc>
          <w:tcPr>
            <w:tcW w:w="81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ML</w:t>
            </w:r>
          </w:p>
        </w:tc>
        <w:tc>
          <w:tcPr>
            <w:tcW w:w="607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All sites; includes groundwater return, municipal discharge, and direct river discharge</w:t>
            </w:r>
          </w:p>
        </w:tc>
      </w:tr>
      <w:tr>
        <w:trPr>
          <w:cantSplit/>
        </w:trPr>
        <w:tc>
          <w:tcPr>
            <w:tcW w:w="2607"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Net Water Consumption (Withdrawal minus Discharge)</w:t>
            </w:r>
          </w:p>
        </w:tc>
        <w:tc>
          <w:tcPr>
            <w:tcW w:w="130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3,844.37</w:t>
            </w:r>
          </w:p>
        </w:tc>
        <w:tc>
          <w:tcPr>
            <w:tcW w:w="81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ML</w:t>
            </w:r>
          </w:p>
        </w:tc>
        <w:tc>
          <w:tcPr>
            <w:tcW w:w="607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Primary consumption at Agrinsa (2,535 ML) and Dateland (1,096 ML) agricultural sites</w:t>
            </w:r>
          </w:p>
        </w:tc>
      </w:tr>
    </w:tbl>
    <w:p>
      <w:pPr>
        <w:spacing w:before="0" w:after="100"/>
        <w:rPr>
          <w:rFonts w:ascii="Century Gothic" w:hAnsi="Century Gothic" w:cs="Century Gothic"/>
          <w:sz w:val="20"/>
          <w:szCs w:val="20"/>
        </w:rPr>
      </w:pP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3d.  Water Withdrawal, Discharge &amp; Net Consumption by Site</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1667"/>
        <w:gridCol w:w="1212"/>
        <w:gridCol w:w="1212"/>
        <w:gridCol w:w="1212"/>
        <w:gridCol w:w="1212"/>
        <w:gridCol w:w="4285"/>
      </w:tblGrid>
      <w:tr>
        <w:trPr>
          <w:cantSplit/>
          <w:tblHeader/>
        </w:trPr>
        <w:tc>
          <w:tcPr>
            <w:tcW w:w="1667"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Site</w:t>
            </w:r>
          </w:p>
        </w:tc>
        <w:tc>
          <w:tcPr>
            <w:tcW w:w="1212"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Facility Type</w:t>
            </w:r>
          </w:p>
        </w:tc>
        <w:tc>
          <w:tcPr>
            <w:tcW w:w="1212"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Withdrawal (ML)</w:t>
            </w:r>
          </w:p>
        </w:tc>
        <w:tc>
          <w:tcPr>
            <w:tcW w:w="1212"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Discharge (ML)</w:t>
            </w:r>
          </w:p>
        </w:tc>
        <w:tc>
          <w:tcPr>
            <w:tcW w:w="1212"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Net Consumed (ML)</w:t>
            </w:r>
          </w:p>
        </w:tc>
        <w:tc>
          <w:tcPr>
            <w:tcW w:w="4285"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Water Stress / River Basin</w:t>
            </w:r>
          </w:p>
        </w:tc>
      </w:tr>
      <w:tr>
        <w:trPr>
          <w:cantSplit/>
        </w:trPr>
        <w:tc>
          <w:tcPr>
            <w:tcW w:w="1667"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Agrinsa, Argentina</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Farm</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5,070.02</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2,535.01</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2,535.01</w:t>
            </w:r>
          </w:p>
        </w:tc>
        <w:tc>
          <w:tcPr>
            <w:tcW w:w="428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Medium – WMOBB374 basin (groundwater source)</w:t>
            </w:r>
          </w:p>
        </w:tc>
      </w:tr>
      <w:tr>
        <w:trPr>
          <w:cantSplit/>
        </w:trPr>
        <w:tc>
          <w:tcPr>
            <w:tcW w:w="1667"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Dateland, AZ</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Farm</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2,191.29</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1,095.64</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1,095.64</w:t>
            </w:r>
          </w:p>
        </w:tc>
        <w:tc>
          <w:tcPr>
            <w:tcW w:w="428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High Water Stress – Colorado River basin</w:t>
            </w:r>
          </w:p>
        </w:tc>
      </w:tr>
      <w:tr>
        <w:trPr>
          <w:cantSplit/>
        </w:trPr>
        <w:tc>
          <w:tcPr>
            <w:tcW w:w="1667"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Gurnee, IL</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Factory</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262.52</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120.10</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142.42</w:t>
            </w:r>
          </w:p>
        </w:tc>
        <w:tc>
          <w:tcPr>
            <w:tcW w:w="428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High Risk – Mississippi River basin</w:t>
            </w:r>
          </w:p>
        </w:tc>
      </w:tr>
      <w:tr>
        <w:trPr>
          <w:cantSplit/>
        </w:trPr>
        <w:tc>
          <w:tcPr>
            <w:tcW w:w="1667"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Chicago, IL</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Factory</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414.09</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331.27</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82.82</w:t>
            </w:r>
          </w:p>
        </w:tc>
        <w:tc>
          <w:tcPr>
            <w:tcW w:w="428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High Risk – Lake Michigan basin</w:t>
            </w:r>
          </w:p>
        </w:tc>
      </w:tr>
      <w:tr>
        <w:trPr>
          <w:cantSplit/>
        </w:trPr>
        <w:tc>
          <w:tcPr>
            <w:tcW w:w="1667"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Tucson, AZ</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Factory</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0.59</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0.41</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0.18</w:t>
            </w:r>
          </w:p>
        </w:tc>
        <w:tc>
          <w:tcPr>
            <w:tcW w:w="428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High Water Stress – Colorado River basin</w:t>
            </w:r>
          </w:p>
        </w:tc>
      </w:tr>
      <w:tr>
        <w:trPr>
          <w:cantSplit/>
        </w:trPr>
        <w:tc>
          <w:tcPr>
            <w:tcW w:w="1667"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Leuna, Germany</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Factory</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41.88</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53.57</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–11.70 ¹</w:t>
            </w:r>
          </w:p>
        </w:tc>
        <w:tc>
          <w:tcPr>
            <w:tcW w:w="428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High Water Stress – Elbe River basin</w:t>
            </w:r>
          </w:p>
        </w:tc>
      </w:tr>
      <w:tr>
        <w:trPr>
          <w:cantSplit/>
        </w:trPr>
        <w:tc>
          <w:tcPr>
            <w:tcW w:w="1667"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Les Borges, Spain</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Factory</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1.42</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1.42</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0</w:t>
            </w:r>
          </w:p>
        </w:tc>
        <w:tc>
          <w:tcPr>
            <w:tcW w:w="428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High Water Stress – Ebro River basin</w:t>
            </w:r>
          </w:p>
        </w:tc>
      </w:tr>
      <w:tr>
        <w:trPr>
          <w:cantSplit/>
        </w:trPr>
        <w:tc>
          <w:tcPr>
            <w:tcW w:w="1667"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Englewood, OH</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Factory</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7.60</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7.60</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0</w:t>
            </w:r>
          </w:p>
        </w:tc>
        <w:tc>
          <w:tcPr>
            <w:tcW w:w="428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High Risk – Ohio River basin</w:t>
            </w:r>
          </w:p>
        </w:tc>
      </w:tr>
      <w:tr>
        <w:trPr>
          <w:cantSplit/>
        </w:trPr>
        <w:tc>
          <w:tcPr>
            <w:tcW w:w="1667"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Fairfield, NJ</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Warehouse</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4.32</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4.32</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0</w:t>
            </w:r>
          </w:p>
        </w:tc>
        <w:tc>
          <w:tcPr>
            <w:tcW w:w="428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High Water Stress – North Atlantic basin</w:t>
            </w:r>
          </w:p>
        </w:tc>
      </w:tr>
      <w:tr>
        <w:trPr>
          <w:cantSplit/>
        </w:trPr>
        <w:tc>
          <w:tcPr>
            <w:tcW w:w="1667"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Carnegie, PA</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Factory</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9.64</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9.64</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0</w:t>
            </w:r>
          </w:p>
        </w:tc>
        <w:tc>
          <w:tcPr>
            <w:tcW w:w="428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Medium – Ohio River basin</w:t>
            </w:r>
          </w:p>
        </w:tc>
      </w:tr>
      <w:tr>
        <w:trPr>
          <w:cantSplit/>
        </w:trPr>
        <w:tc>
          <w:tcPr>
            <w:tcW w:w="1667"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Warren, NJ</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Office</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0.79</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0.79</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0</w:t>
            </w:r>
          </w:p>
        </w:tc>
        <w:tc>
          <w:tcPr>
            <w:tcW w:w="428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Not assessed</w:t>
            </w:r>
          </w:p>
        </w:tc>
      </w:tr>
      <w:tr>
        <w:trPr>
          <w:cantSplit/>
        </w:trPr>
        <w:tc>
          <w:tcPr>
            <w:tcW w:w="1667"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All Other Offices &amp; Warehouses²</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Various</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4.42</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4.42</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0</w:t>
            </w:r>
          </w:p>
        </w:tc>
        <w:tc>
          <w:tcPr>
            <w:tcW w:w="428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Not assessed</w:t>
            </w:r>
          </w:p>
        </w:tc>
      </w:tr>
      <w:tr>
        <w:trPr>
          <w:cantSplit/>
        </w:trPr>
        <w:tc>
          <w:tcPr>
            <w:tcW w:w="1667"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TOTAL</w:t>
            </w:r>
          </w:p>
        </w:tc>
        <w:tc>
          <w:tcPr>
            <w:tcW w:w="1212" w:type="dxa"/>
            <w:vAlign w:val="top"/>
          </w:tcPr>
          <w:p>
            <w:pPr>
              <w:spacing w:before="0" w:after="0"/>
              <w:rPr>
                <w:rFonts w:ascii="Century Gothic" w:hAnsi="Century Gothic" w:cs="Century Gothic"/>
                <w:sz w:val="18"/>
                <w:szCs w:val="18"/>
              </w:rPr>
            </w:pP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8,008.57</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4,164.20</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3,844.37</w:t>
            </w:r>
          </w:p>
        </w:tc>
        <w:tc>
          <w:tcPr>
            <w:tcW w:w="4285" w:type="dxa"/>
            <w:vAlign w:val="top"/>
          </w:tcPr>
          <w:p>
            <w:pPr>
              <w:spacing w:before="0" w:after="0"/>
              <w:rPr>
                <w:rFonts w:ascii="Century Gothic" w:hAnsi="Century Gothic" w:cs="Century Gothic"/>
                <w:sz w:val="18"/>
                <w:szCs w:val="18"/>
              </w:rPr>
            </w:pPr>
          </w:p>
        </w:tc>
      </w:tr>
    </w:tbl>
    <w:p>
      <w:pPr>
        <w:spacing w:before="0" w:after="10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i/>
          <w:iCs/>
          <w:sz w:val="20"/>
          <w:szCs w:val="20"/>
        </w:rPr>
        <w:t xml:space="preserve">ⓘ ¹ Leuna net negative consumption reflects recirculated condensation water at site exceeding net freshwater/municipal draw — a water efficiency feature of the German facility design. ² Other offices/warehouses include Barcelona, Bogota, Buenos Aires, Deerfield, Granollers, Linden, Mexico City, Mumbai, Pittsburgh, Santiago, Sao Paulo, Shanghai and South Africa. Total water withdrawal fell from 13,155.90 ML in FY2024 to 8,008.57 ML in RY2025 (–39%), driven by drip-irrigation upgrades at the Dateland and Agrinsa farms, and is down 52% against the 16,522 ML 2021 baseline.</w:t>
      </w: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4.  WASTE GENERATED IN OPERATIONS</w:t>
            </w:r>
          </w:p>
        </w:tc>
      </w:tr>
    </w:tbl>
    <w:p>
      <w:pPr>
        <w:spacing w:before="0" w:after="80"/>
        <w:rPr>
          <w:rFonts w:ascii="Century Gothic" w:hAnsi="Century Gothic" w:cs="Century Gothic"/>
          <w:sz w:val="20"/>
          <w:szCs w:val="20"/>
        </w:rPr>
      </w:pP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2615"/>
        <w:gridCol w:w="1046"/>
        <w:gridCol w:w="1046"/>
        <w:gridCol w:w="6093"/>
      </w:tblGrid>
      <w:tr>
        <w:trPr>
          <w:cantSplit/>
          <w:tblHeader/>
        </w:trPr>
        <w:tc>
          <w:tcPr>
            <w:tcW w:w="2615"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Waste Category</w:t>
            </w:r>
          </w:p>
        </w:tc>
        <w:tc>
          <w:tcPr>
            <w:tcW w:w="1046"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FY2024 Volume</w:t>
            </w:r>
          </w:p>
        </w:tc>
        <w:tc>
          <w:tcPr>
            <w:tcW w:w="1046"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Unit</w:t>
            </w:r>
          </w:p>
        </w:tc>
        <w:tc>
          <w:tcPr>
            <w:tcW w:w="6093"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Notes / Disposal Sites</w:t>
            </w:r>
          </w:p>
        </w:tc>
      </w:tr>
      <w:tr>
        <w:trPr>
          <w:cantSplit/>
        </w:trPr>
        <w:tc>
          <w:tcPr>
            <w:tcW w:w="2615"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Non-Hazardous Waste – Disposed (Landfill)</w:t>
            </w:r>
          </w:p>
        </w:tc>
        <w:tc>
          <w:tcPr>
            <w:tcW w:w="1046"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858</w:t>
            </w:r>
          </w:p>
        </w:tc>
        <w:tc>
          <w:tcPr>
            <w:tcW w:w="1046"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metric tonnes</w:t>
            </w:r>
          </w:p>
        </w:tc>
        <w:tc>
          <w:tcPr>
            <w:tcW w:w="6093"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Across US manufacturing sites (Chicago, Gurnee, Englewood, Dateland, etc.)</w:t>
            </w:r>
          </w:p>
        </w:tc>
      </w:tr>
      <w:tr>
        <w:trPr>
          <w:cantSplit/>
        </w:trPr>
        <w:tc>
          <w:tcPr>
            <w:tcW w:w="2615"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Non-Hazardous Waste – Recycled</w:t>
            </w:r>
          </w:p>
        </w:tc>
        <w:tc>
          <w:tcPr>
            <w:tcW w:w="1046"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426</w:t>
            </w:r>
          </w:p>
        </w:tc>
        <w:tc>
          <w:tcPr>
            <w:tcW w:w="1046"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metric tonnes</w:t>
            </w:r>
          </w:p>
        </w:tc>
        <w:tc>
          <w:tcPr>
            <w:tcW w:w="6093"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Recycled/diverted from landfill across all sites</w:t>
            </w:r>
          </w:p>
        </w:tc>
      </w:tr>
      <w:tr>
        <w:trPr>
          <w:cantSplit/>
        </w:trPr>
        <w:tc>
          <w:tcPr>
            <w:tcW w:w="2615"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Hazardous Waste – Disposed</w:t>
            </w:r>
          </w:p>
        </w:tc>
        <w:tc>
          <w:tcPr>
            <w:tcW w:w="1046"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6,027</w:t>
            </w:r>
          </w:p>
        </w:tc>
        <w:tc>
          <w:tcPr>
            <w:tcW w:w="1046"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metric tonnes</w:t>
            </w:r>
          </w:p>
        </w:tc>
        <w:tc>
          <w:tcPr>
            <w:tcW w:w="6093"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Primarily Gurnee, IL and Chicago, IL; managed by licensed vendors</w:t>
            </w:r>
          </w:p>
        </w:tc>
      </w:tr>
      <w:tr>
        <w:trPr>
          <w:cantSplit/>
        </w:trPr>
        <w:tc>
          <w:tcPr>
            <w:tcW w:w="2615"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Hazardous Waste – Incinerated</w:t>
            </w:r>
          </w:p>
        </w:tc>
        <w:tc>
          <w:tcPr>
            <w:tcW w:w="1046"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1,416</w:t>
            </w:r>
          </w:p>
        </w:tc>
        <w:tc>
          <w:tcPr>
            <w:tcW w:w="1046"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metric tonnes</w:t>
            </w:r>
          </w:p>
        </w:tc>
        <w:tc>
          <w:tcPr>
            <w:tcW w:w="6093"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High-temperature incineration at permitted facilities</w:t>
            </w:r>
          </w:p>
        </w:tc>
      </w:tr>
      <w:tr>
        <w:trPr>
          <w:cantSplit/>
        </w:trPr>
        <w:tc>
          <w:tcPr>
            <w:tcW w:w="2615"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Hazardous Waste – Recycled</w:t>
            </w:r>
          </w:p>
        </w:tc>
        <w:tc>
          <w:tcPr>
            <w:tcW w:w="1046"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16</w:t>
            </w:r>
          </w:p>
        </w:tc>
        <w:tc>
          <w:tcPr>
            <w:tcW w:w="1046"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metric tonnes</w:t>
            </w:r>
          </w:p>
        </w:tc>
        <w:tc>
          <w:tcPr>
            <w:tcW w:w="6093"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Recovered and repurposed hazardous streams</w:t>
            </w:r>
          </w:p>
        </w:tc>
      </w:tr>
      <w:tr>
        <w:trPr>
          <w:cantSplit/>
        </w:trPr>
        <w:tc>
          <w:tcPr>
            <w:tcW w:w="2615"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GHG Emissions from Waste (S3 Cat. 5) — RY2025</w:t>
            </w:r>
          </w:p>
        </w:tc>
        <w:tc>
          <w:tcPr>
            <w:tcW w:w="1046"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3,759</w:t>
            </w:r>
          </w:p>
        </w:tc>
        <w:tc>
          <w:tcPr>
            <w:tcW w:w="1046"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tCO₂e</w:t>
            </w:r>
          </w:p>
        </w:tc>
        <w:tc>
          <w:tcPr>
            <w:tcW w:w="6093"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+4.6% vs. FY2024 (3,595 tCO₂e)</w:t>
            </w:r>
          </w:p>
        </w:tc>
      </w:tr>
    </w:tbl>
    <w:p>
      <w:pPr>
        <w:spacing w:before="0" w:after="10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i/>
          <w:iCs/>
          <w:sz w:val="20"/>
          <w:szCs w:val="20"/>
        </w:rPr>
        <w:t xml:space="preserve">ⓘ Waste tonnages above remain FY2024 figures. RY2025 waste volumes are not collected in the CDP Climate &amp; Water questionnaire and must be sourced separately from Intelex / EHS records before submission — only the Scope 3 Category 5 GHG figure has been updated to RY2025. Hazardous waste is managed by licensed and permitted third-party vendors under US EPA RCRA (US sites) and the EU Waste Framework Directive (European sites); Gurnee and Chicago are the primary hazardous waste generators due to oleochemical process chemistry.</w:t>
      </w: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5.  ENVIRONMENTAL HEALTH &amp; SAFETY PERFORMANCE (FY2025 FULL YEAR)</w:t>
            </w:r>
          </w:p>
        </w:tc>
      </w:tr>
    </w:tbl>
    <w:p>
      <w:pPr>
        <w:spacing w:before="0" w:after="80"/>
        <w:rPr>
          <w:rFonts w:ascii="Century Gothic" w:hAnsi="Century Gothic" w:cs="Century Gothic"/>
          <w:sz w:val="20"/>
          <w:szCs w:val="20"/>
        </w:rPr>
      </w:pP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3030"/>
        <w:gridCol w:w="2424"/>
        <w:gridCol w:w="1212"/>
        <w:gridCol w:w="4134"/>
      </w:tblGrid>
      <w:tr>
        <w:trPr>
          <w:cantSplit/>
          <w:tblHeader/>
        </w:trPr>
        <w:tc>
          <w:tcPr>
            <w:tcW w:w="3030"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Safety Metric</w:t>
            </w:r>
          </w:p>
        </w:tc>
        <w:tc>
          <w:tcPr>
            <w:tcW w:w="2424"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FY2025 Value</w:t>
            </w:r>
          </w:p>
        </w:tc>
        <w:tc>
          <w:tcPr>
            <w:tcW w:w="1212"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Unit</w:t>
            </w:r>
          </w:p>
        </w:tc>
        <w:tc>
          <w:tcPr>
            <w:tcW w:w="4134"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Benchmark / Context</w:t>
            </w:r>
          </w:p>
        </w:tc>
      </w:tr>
      <w:tr>
        <w:trPr>
          <w:cantSplit/>
        </w:trPr>
        <w:tc>
          <w:tcPr>
            <w:tcW w:w="3030"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Total Recordable Incident Rate (TRIR)</w:t>
            </w:r>
          </w:p>
        </w:tc>
        <w:tc>
          <w:tcPr>
            <w:tcW w:w="242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0.7</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per 200,000 hrs</w:t>
            </w:r>
          </w:p>
        </w:tc>
        <w:tc>
          <w:tcPr>
            <w:tcW w:w="413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2025 full year; improved from 1.5 in 2024</w:t>
            </w:r>
          </w:p>
        </w:tc>
      </w:tr>
      <w:tr>
        <w:trPr>
          <w:cantSplit/>
        </w:trPr>
        <w:tc>
          <w:tcPr>
            <w:tcW w:w="3030"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Chemical Manufacturing Industry Average TRIR</w:t>
            </w:r>
          </w:p>
        </w:tc>
        <w:tc>
          <w:tcPr>
            <w:tcW w:w="242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1.8</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per 200,000 hrs</w:t>
            </w:r>
          </w:p>
        </w:tc>
        <w:tc>
          <w:tcPr>
            <w:tcW w:w="413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Vantage TRIR is below industry average</w:t>
            </w:r>
          </w:p>
        </w:tc>
      </w:tr>
      <w:tr>
        <w:trPr>
          <w:cantSplit/>
        </w:trPr>
        <w:tc>
          <w:tcPr>
            <w:tcW w:w="3030"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Total Near Misses</w:t>
            </w:r>
          </w:p>
        </w:tc>
        <w:tc>
          <w:tcPr>
            <w:tcW w:w="242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32</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events</w:t>
            </w:r>
          </w:p>
        </w:tc>
        <w:tc>
          <w:tcPr>
            <w:tcW w:w="413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2025 full year; used for proactive hazard identification</w:t>
            </w:r>
          </w:p>
        </w:tc>
      </w:tr>
      <w:tr>
        <w:trPr>
          <w:cantSplit/>
        </w:trPr>
        <w:tc>
          <w:tcPr>
            <w:tcW w:w="3030"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Total Process Safety Events</w:t>
            </w:r>
          </w:p>
        </w:tc>
        <w:tc>
          <w:tcPr>
            <w:tcW w:w="242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24</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events</w:t>
            </w:r>
          </w:p>
        </w:tc>
        <w:tc>
          <w:tcPr>
            <w:tcW w:w="413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2025 full year; 4 significant events (primarily Chicago site)</w:t>
            </w:r>
          </w:p>
        </w:tc>
      </w:tr>
      <w:tr>
        <w:trPr>
          <w:cantSplit/>
        </w:trPr>
        <w:tc>
          <w:tcPr>
            <w:tcW w:w="3030"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Sites with TRIR = 0 (2025 full year)</w:t>
            </w:r>
          </w:p>
        </w:tc>
        <w:tc>
          <w:tcPr>
            <w:tcW w:w="242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Gurnee, Leuna</w:t>
            </w:r>
          </w:p>
        </w:tc>
        <w:tc>
          <w:tcPr>
            <w:tcW w:w="121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w:t>
            </w:r>
          </w:p>
        </w:tc>
        <w:tc>
          <w:tcPr>
            <w:tcW w:w="413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Confirmed zero recordable injuries in 2025</w:t>
            </w:r>
          </w:p>
        </w:tc>
      </w:tr>
    </w:tbl>
    <w:p>
      <w:pPr>
        <w:spacing w:before="0" w:after="10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i/>
          <w:iCs/>
          <w:sz w:val="20"/>
          <w:szCs w:val="20"/>
        </w:rPr>
        <w:t xml:space="preserve">ⓘ Safety data from the EHS Monthly Dashboard (December 2025), full-year 2025. Corporate TRIR of 0.8 compares with a chemical manufacturing industry average of 1.8 and an all-industry average of 2.7. Site-level 2025 TRIR: Gurnee 0.0, Leuna 0.0, Carnegie 2.6, Englewood 3.0, Chicago 3.1, Fairfield 3.3, Arizona (El Niño / Tucson) 5.9.</w:t>
      </w: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6.  ENVIRONMENTAL COMPLIANCE &amp; GOVERNANCE</w:t>
            </w:r>
          </w:p>
        </w:tc>
      </w:tr>
    </w:tbl>
    <w:p>
      <w:pPr>
        <w:spacing w:before="0" w:after="80"/>
        <w:rPr>
          <w:rFonts w:ascii="Century Gothic" w:hAnsi="Century Gothic" w:cs="Century Gothic"/>
          <w:sz w:val="20"/>
          <w:szCs w:val="20"/>
        </w:rPr>
      </w:pP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3182"/>
        <w:gridCol w:w="7618"/>
      </w:tblGrid>
      <w:tr>
        <w:trPr>
          <w:cantSplit/>
          <w:tblHeader/>
        </w:trPr>
        <w:tc>
          <w:tcPr>
            <w:tcW w:w="3182"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Governance Element</w:t>
            </w:r>
          </w:p>
        </w:tc>
        <w:tc>
          <w:tcPr>
            <w:tcW w:w="7618"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Status / Description</w:t>
            </w:r>
          </w:p>
        </w:tc>
      </w:tr>
      <w:tr>
        <w:trPr>
          <w:cantSplit/>
        </w:trPr>
        <w:tc>
          <w:tcPr>
            <w:tcW w:w="3182"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Regulatory Compliance Framework</w:t>
            </w:r>
          </w:p>
        </w:tc>
        <w:tc>
          <w:tcPr>
            <w:tcW w:w="7618"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Vantage maintains site compliance calendars managed via Intelex EHS system. Regulated by US EPA, state agencies (IEPA, OEPA, NJDEP), German BImSchG and EU Industrial Emission Directive, and EU REACH.</w:t>
            </w:r>
          </w:p>
        </w:tc>
      </w:tr>
      <w:tr>
        <w:trPr>
          <w:cantSplit/>
        </w:trPr>
        <w:tc>
          <w:tcPr>
            <w:tcW w:w="3182"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Regulatory Inspections (FY2025)</w:t>
            </w:r>
          </w:p>
        </w:tc>
        <w:tc>
          <w:tcPr>
            <w:tcW w:w="7618"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Multiple inspections across all sites: IEPA Title V air permit (Gurnee), MWRD wastewater (Chicago), German IED Environmental Agency Inspection (Leuna), fire department inspections at US facilities. Findings tracked and remediated per regulatory timelines.</w:t>
            </w:r>
          </w:p>
        </w:tc>
      </w:tr>
      <w:tr>
        <w:trPr>
          <w:cantSplit/>
        </w:trPr>
        <w:tc>
          <w:tcPr>
            <w:tcW w:w="3182"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EHS Management System</w:t>
            </w:r>
          </w:p>
        </w:tc>
        <w:tc>
          <w:tcPr>
            <w:tcW w:w="7618"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Intelex platform used for environmental compliance tracking, incident reporting, near-miss recording, and regulatory interaction documentation at all manufacturing sites globally.</w:t>
            </w:r>
          </w:p>
        </w:tc>
      </w:tr>
      <w:tr>
        <w:trPr>
          <w:cantSplit/>
        </w:trPr>
        <w:tc>
          <w:tcPr>
            <w:tcW w:w="3182"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External Memberships &amp; Standards</w:t>
            </w:r>
          </w:p>
        </w:tc>
        <w:tc>
          <w:tcPr>
            <w:tcW w:w="7618"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Member of Roundtable on Sustainable Palm Oil (RSPO). Participant in Action for Sustainable Derivatives (ASD) disclosure. Transparency One for supply chain traceability.</w:t>
            </w:r>
          </w:p>
        </w:tc>
      </w:tr>
      <w:tr>
        <w:trPr>
          <w:cantSplit/>
        </w:trPr>
        <w:tc>
          <w:tcPr>
            <w:tcW w:w="3182"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GHG Inventory Methodology</w:t>
            </w:r>
          </w:p>
        </w:tc>
        <w:tc>
          <w:tcPr>
            <w:tcW w:w="7618"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GHG Protocol Corporate Accounting and Reporting Standard. Scope 3 inventory using hybrid method (activity-based for major categories, spend-based for others). Emission factors: DEFRA (UK), IEA, US EPA EEIO. AR5 GWP values applied.</w:t>
            </w:r>
          </w:p>
        </w:tc>
      </w:tr>
      <w:tr>
        <w:trPr>
          <w:cantSplit/>
        </w:trPr>
        <w:tc>
          <w:tcPr>
            <w:tcW w:w="3182"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Water Data Methodology</w:t>
            </w:r>
          </w:p>
        </w:tc>
        <w:tc>
          <w:tcPr>
            <w:tcW w:w="7618"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CDP Water Security framework. Withdrawal and discharge tracked by site, source, and receiving environment. Water stress assessed using WWF Water Risk Filter. Leuna site-level data based on metered flows; farm sites based on groundwater extraction records and irrigation systems.</w:t>
            </w:r>
          </w:p>
        </w:tc>
      </w:tr>
      <w:tr>
        <w:trPr>
          <w:cantSplit/>
        </w:trPr>
        <w:tc>
          <w:tcPr>
            <w:tcW w:w="3182"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Reporting Boundary</w:t>
            </w:r>
          </w:p>
        </w:tc>
        <w:tc>
          <w:tcPr>
            <w:tcW w:w="7618"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Operational control approach. Covers Vantage Specialty Chemicals Inc. (US), Vantage Spain, Vantage Leuna GmbH (Germany), Agrinsa (Argentina), and all directly operated facilities and farming operations.</w:t>
            </w:r>
          </w:p>
        </w:tc>
      </w:tr>
      <w:tr>
        <w:trPr>
          <w:cantSplit/>
        </w:trPr>
        <w:tc>
          <w:tcPr>
            <w:tcW w:w="3182"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Review Cadence</w:t>
            </w:r>
          </w:p>
        </w:tc>
        <w:tc>
          <w:tcPr>
            <w:tcW w:w="7618"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Annual GHG and water inventory. Monthly EHS dashboard reviewed by leadership. CDP Climate and Water Security disclosures completed annually.</w:t>
            </w:r>
          </w:p>
        </w:tc>
      </w:tr>
    </w:tbl>
    <w:p>
      <w:pPr>
        <w:spacing w:before="0" w:after="10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b/>
          <w:bCs/>
          <w:sz w:val="20"/>
          <w:szCs w:val="20"/>
        </w:rPr>
        <w:t xml:space="preserve">Data Sources: </w:t>
      </w:r>
      <w:r>
        <w:rPr>
          <w:rFonts w:ascii="Century Gothic" w:hAnsi="Century Gothic" w:cs="Century Gothic"/>
          <w:sz w:val="20"/>
          <w:szCs w:val="20"/>
        </w:rPr>
        <w:t xml:space="preserve">CDP Corporate Questionnaire 2026 (reporting year ended 31 Dec 2025) · 2025_Water_Data_for_CDP.xlsx · EHS Monthly Dashboard (December 2025) · Sustainability Overview First Edition (March 2026) · FY2024 comparatives from VSC_S1_S2_and_S3_FY2024_Inventory_Summary.xlsx and 2024_Water_Data_for_CDP.xlsx</w:t>
      </w:r>
    </w:p>
    <w:sectPr w:rsidR="00B33597" w:rsidRPr="00F27E13" w:rsidSect="008E59F9">
      <w:footerReference w:type="default" r:id="rId12"/>
      <w:pgSz w:w="12240" w:h="15840"/>
      <w:pgMar w:top="720" w:right="720" w:bottom="720" w:left="720" w:header="720" w:footer="2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27A68" w14:textId="77777777" w:rsidR="000B6737" w:rsidRDefault="000B6737">
      <w:r>
        <w:separator/>
      </w:r>
    </w:p>
  </w:endnote>
  <w:endnote w:type="continuationSeparator" w:id="0">
    <w:p w14:paraId="319FDE6D" w14:textId="77777777" w:rsidR="000B6737" w:rsidRDefault="000B67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Reference Sans Serif">
    <w:panose1 w:val="020B0604030504040204"/>
    <w:charset w:val="00"/>
    <w:family w:val="swiss"/>
    <w:pitch w:val="variable"/>
    <w:sig w:usb0="20000287" w:usb1="00000000"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F03A2" w14:textId="421C1FD3" w:rsidR="00CB4A35" w:rsidRDefault="00CB4A35">
    <w:pPr>
      <w:widowControl/>
      <w:spacing w:after="160"/>
      <w:rPr>
        <w:rFonts w:ascii="Arial" w:hAnsi="Arial" w:cs="Arial"/>
        <w:color w:val="000000"/>
      </w:rPr>
    </w:pPr>
  </w:p>
  <w:p w14:paraId="1CBB397E" w14:textId="701504CE" w:rsidR="00CB4A35" w:rsidRPr="0087333D" w:rsidRDefault="00233CA7">
    <w:pPr>
      <w:widowControl/>
      <w:tabs>
        <w:tab w:val="center" w:pos="4680"/>
        <w:tab w:val="right" w:pos="9360"/>
      </w:tabs>
      <w:jc w:val="right"/>
      <w:rPr>
        <w:rFonts w:ascii="Aptos" w:hAnsi="Aptos"/>
      </w:rPr>
    </w:pPr>
    <w:r w:rsidRPr="0087333D">
      <w:rPr>
        <w:rFonts w:ascii="Aptos" w:hAnsi="Aptos" w:cs="Arial"/>
        <w:color w:val="000000"/>
      </w:rPr>
      <w:fldChar w:fldCharType="begin"/>
    </w:r>
    <w:r w:rsidRPr="0087333D">
      <w:rPr>
        <w:rFonts w:ascii="Aptos" w:hAnsi="Aptos" w:cs="Arial"/>
        <w:color w:val="000000"/>
      </w:rPr>
      <w:instrText xml:space="preserve"> PAGE </w:instrText>
    </w:r>
    <w:r w:rsidRPr="0087333D">
      <w:rPr>
        <w:rFonts w:ascii="Aptos" w:hAnsi="Aptos" w:cs="Arial"/>
        <w:color w:val="000000"/>
      </w:rPr>
      <w:fldChar w:fldCharType="separate"/>
    </w:r>
    <w:r w:rsidRPr="0087333D">
      <w:rPr>
        <w:rFonts w:ascii="Aptos" w:hAnsi="Aptos" w:cs="Arial"/>
        <w:color w:val="000000"/>
      </w:rPr>
      <w:t>9</w:t>
    </w:r>
    <w:r w:rsidRPr="0087333D">
      <w:rPr>
        <w:rFonts w:ascii="Aptos" w:hAnsi="Aptos" w:cs="Arial"/>
        <w:color w:val="000000"/>
      </w:rPr>
      <w:fldChar w:fldCharType="end"/>
    </w:r>
    <w:r w:rsidRPr="0087333D">
      <w:rPr>
        <w:rFonts w:ascii="Aptos" w:hAnsi="Aptos" w:cs="Arial"/>
        <w:color w:val="000000"/>
      </w:rPr>
      <w:t xml:space="preserve">         </w:t>
    </w:r>
    <w:r w:rsidR="0036061B">
      <w:rPr>
        <w:rFonts w:ascii="Aptos" w:hAnsi="Aptos" w:cs="Arial"/>
        <w:color w:val="000000"/>
      </w:rPr>
      <w:t>Environmental Performance KPI Summary</w:t>
    </w:r>
  </w:p>
  <w:p w14:paraId="55994FDE" w14:textId="77777777" w:rsidR="00CB4A35" w:rsidRDefault="00CB4A35">
    <w:pPr>
      <w:pStyle w:val="Footer"/>
    </w:pPr>
  </w:p>
  <w:p w14:paraId="0191B695" w14:textId="77777777" w:rsidR="00CC7438" w:rsidRDefault="00CC7438"/>
  <w:p w14:paraId="4A8761B5" w14:textId="77777777" w:rsidR="00CC7438" w:rsidRDefault="00CC743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708E5" w14:textId="77777777" w:rsidR="000B6737" w:rsidRDefault="000B6737">
      <w:r>
        <w:rPr>
          <w:color w:val="000000"/>
        </w:rPr>
        <w:separator/>
      </w:r>
    </w:p>
  </w:footnote>
  <w:footnote w:type="continuationSeparator" w:id="0">
    <w:p w14:paraId="5E236D2F" w14:textId="77777777" w:rsidR="000B6737" w:rsidRDefault="000B67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1AA4"/>
    <w:multiLevelType w:val="hybridMultilevel"/>
    <w:tmpl w:val="9404D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6C2CD1"/>
    <w:multiLevelType w:val="hybridMultilevel"/>
    <w:tmpl w:val="72CA4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703B73"/>
    <w:multiLevelType w:val="hybridMultilevel"/>
    <w:tmpl w:val="BCF69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325B9B"/>
    <w:multiLevelType w:val="hybridMultilevel"/>
    <w:tmpl w:val="31D62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657452"/>
    <w:multiLevelType w:val="hybridMultilevel"/>
    <w:tmpl w:val="8B223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C2807"/>
    <w:multiLevelType w:val="hybridMultilevel"/>
    <w:tmpl w:val="AB08D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C13E99"/>
    <w:multiLevelType w:val="hybridMultilevel"/>
    <w:tmpl w:val="1A2A2552"/>
    <w:lvl w:ilvl="0" w:tplc="850A4636">
      <w:start w:val="1"/>
      <w:numFmt w:val="decimal"/>
      <w:lvlText w:val="%1."/>
      <w:lvlJc w:val="left"/>
      <w:pPr>
        <w:ind w:left="720" w:hanging="360"/>
      </w:pPr>
      <w:rPr>
        <w:rFonts w:cs="Open Sans"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3317D4"/>
    <w:multiLevelType w:val="hybridMultilevel"/>
    <w:tmpl w:val="9D1004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D63510"/>
    <w:multiLevelType w:val="hybridMultilevel"/>
    <w:tmpl w:val="CA360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CB466F"/>
    <w:multiLevelType w:val="hybridMultilevel"/>
    <w:tmpl w:val="B3DCA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7E3CA4"/>
    <w:multiLevelType w:val="hybridMultilevel"/>
    <w:tmpl w:val="19CC1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1C0631"/>
    <w:multiLevelType w:val="hybridMultilevel"/>
    <w:tmpl w:val="680E77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226FCD"/>
    <w:multiLevelType w:val="multilevel"/>
    <w:tmpl w:val="CE2AD7F4"/>
    <w:styleLink w:val="CurrentList1"/>
    <w:lvl w:ilvl="0">
      <w:start w:val="5"/>
      <w:numFmt w:val="decimal"/>
      <w:lvlText w:val="%1"/>
      <w:lvlJc w:val="left"/>
      <w:pPr>
        <w:ind w:left="851" w:hanging="360"/>
      </w:pPr>
      <w:rPr>
        <w:rFonts w:hint="default"/>
        <w:lang w:val="en-US" w:eastAsia="en-US" w:bidi="ar-SA"/>
      </w:rPr>
    </w:lvl>
    <w:lvl w:ilvl="1">
      <w:numFmt w:val="decimal"/>
      <w:lvlText w:val="%1.%2"/>
      <w:lvlJc w:val="left"/>
      <w:pPr>
        <w:ind w:left="851" w:hanging="360"/>
        <w:jc w:val="right"/>
      </w:pPr>
      <w:rPr>
        <w:rFonts w:hint="default"/>
        <w:spacing w:val="0"/>
        <w:w w:val="100"/>
        <w:lang w:val="en-US" w:eastAsia="en-US" w:bidi="ar-SA"/>
      </w:rPr>
    </w:lvl>
    <w:lvl w:ilvl="2">
      <w:start w:val="1"/>
      <w:numFmt w:val="decimal"/>
      <w:lvlText w:val="%3."/>
      <w:lvlJc w:val="left"/>
      <w:pPr>
        <w:ind w:left="1571" w:hanging="452"/>
      </w:pPr>
      <w:rPr>
        <w:rFonts w:asciiTheme="minorHAnsi" w:eastAsia="Calibri" w:hAnsiTheme="minorHAnsi" w:cs="Open Sans"/>
        <w:b w:val="0"/>
        <w:bCs w:val="0"/>
        <w:i w:val="0"/>
        <w:iCs w:val="0"/>
        <w:spacing w:val="-1"/>
        <w:w w:val="99"/>
        <w:sz w:val="22"/>
        <w:szCs w:val="22"/>
        <w:lang w:val="en-US" w:eastAsia="en-US" w:bidi="ar-SA"/>
      </w:rPr>
    </w:lvl>
    <w:lvl w:ilvl="3">
      <w:start w:val="1"/>
      <w:numFmt w:val="bullet"/>
      <w:lvlText w:val=""/>
      <w:lvlJc w:val="left"/>
      <w:pPr>
        <w:ind w:left="2019" w:hanging="360"/>
      </w:pPr>
      <w:rPr>
        <w:rFonts w:ascii="Symbol" w:hAnsi="Symbol" w:hint="default"/>
      </w:rPr>
    </w:lvl>
    <w:lvl w:ilvl="4">
      <w:numFmt w:val="bullet"/>
      <w:lvlText w:val="•"/>
      <w:lvlJc w:val="left"/>
      <w:pPr>
        <w:ind w:left="3520" w:hanging="720"/>
      </w:pPr>
      <w:rPr>
        <w:rFonts w:hint="default"/>
        <w:lang w:val="en-US" w:eastAsia="en-US" w:bidi="ar-SA"/>
      </w:rPr>
    </w:lvl>
    <w:lvl w:ilvl="5">
      <w:numFmt w:val="bullet"/>
      <w:lvlText w:val="•"/>
      <w:lvlJc w:val="left"/>
      <w:pPr>
        <w:ind w:left="4660" w:hanging="720"/>
      </w:pPr>
      <w:rPr>
        <w:rFonts w:hint="default"/>
        <w:lang w:val="en-US" w:eastAsia="en-US" w:bidi="ar-SA"/>
      </w:rPr>
    </w:lvl>
    <w:lvl w:ilvl="6">
      <w:numFmt w:val="bullet"/>
      <w:lvlText w:val="•"/>
      <w:lvlJc w:val="left"/>
      <w:pPr>
        <w:ind w:left="5800" w:hanging="720"/>
      </w:pPr>
      <w:rPr>
        <w:rFonts w:hint="default"/>
        <w:lang w:val="en-US" w:eastAsia="en-US" w:bidi="ar-SA"/>
      </w:rPr>
    </w:lvl>
    <w:lvl w:ilvl="7">
      <w:numFmt w:val="bullet"/>
      <w:lvlText w:val="•"/>
      <w:lvlJc w:val="left"/>
      <w:pPr>
        <w:ind w:left="6940" w:hanging="720"/>
      </w:pPr>
      <w:rPr>
        <w:rFonts w:hint="default"/>
        <w:lang w:val="en-US" w:eastAsia="en-US" w:bidi="ar-SA"/>
      </w:rPr>
    </w:lvl>
    <w:lvl w:ilvl="8">
      <w:numFmt w:val="bullet"/>
      <w:lvlText w:val="•"/>
      <w:lvlJc w:val="left"/>
      <w:pPr>
        <w:ind w:left="8080" w:hanging="720"/>
      </w:pPr>
      <w:rPr>
        <w:rFonts w:hint="default"/>
        <w:lang w:val="en-US" w:eastAsia="en-US" w:bidi="ar-SA"/>
      </w:rPr>
    </w:lvl>
  </w:abstractNum>
  <w:abstractNum w:abstractNumId="13" w15:restartNumberingAfterBreak="0">
    <w:nsid w:val="6F310C05"/>
    <w:multiLevelType w:val="hybridMultilevel"/>
    <w:tmpl w:val="8586E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9B6F33"/>
    <w:multiLevelType w:val="hybridMultilevel"/>
    <w:tmpl w:val="FF04EEB2"/>
    <w:lvl w:ilvl="0" w:tplc="30B63476">
      <w:start w:val="9"/>
      <w:numFmt w:val="decimal"/>
      <w:lvlText w:val="%1."/>
      <w:lvlJc w:val="left"/>
      <w:pPr>
        <w:ind w:left="360" w:hanging="360"/>
      </w:pPr>
      <w:rPr>
        <w:rFonts w:cs="Open Sans" w:hint="default"/>
        <w:sz w:val="2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8C74784"/>
    <w:multiLevelType w:val="hybridMultilevel"/>
    <w:tmpl w:val="9446B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abstractNum>
  <w:abstractNum w:abstractNumId="901">
    <w:multiLevelType w:val="hybridMultilevel"/>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abstractNum>
  <w:num w:numId="1" w16cid:durableId="722867575">
    <w:abstractNumId w:val="12"/>
  </w:num>
  <w:num w:numId="2" w16cid:durableId="981153422">
    <w:abstractNumId w:val="1"/>
  </w:num>
  <w:num w:numId="3" w16cid:durableId="1578514493">
    <w:abstractNumId w:val="8"/>
  </w:num>
  <w:num w:numId="4" w16cid:durableId="737246427">
    <w:abstractNumId w:val="3"/>
  </w:num>
  <w:num w:numId="5" w16cid:durableId="2099711899">
    <w:abstractNumId w:val="7"/>
  </w:num>
  <w:num w:numId="6" w16cid:durableId="875777602">
    <w:abstractNumId w:val="0"/>
  </w:num>
  <w:num w:numId="7" w16cid:durableId="406072617">
    <w:abstractNumId w:val="10"/>
  </w:num>
  <w:num w:numId="8" w16cid:durableId="6292877">
    <w:abstractNumId w:val="4"/>
  </w:num>
  <w:num w:numId="9" w16cid:durableId="533156928">
    <w:abstractNumId w:val="13"/>
  </w:num>
  <w:num w:numId="10" w16cid:durableId="85615345">
    <w:abstractNumId w:val="15"/>
  </w:num>
  <w:num w:numId="11" w16cid:durableId="218130606">
    <w:abstractNumId w:val="5"/>
  </w:num>
  <w:num w:numId="12" w16cid:durableId="224143960">
    <w:abstractNumId w:val="2"/>
  </w:num>
  <w:num w:numId="13" w16cid:durableId="680158959">
    <w:abstractNumId w:val="9"/>
  </w:num>
  <w:num w:numId="14" w16cid:durableId="1386563937">
    <w:abstractNumId w:val="6"/>
  </w:num>
  <w:num w:numId="15" w16cid:durableId="629215132">
    <w:abstractNumId w:val="14"/>
  </w:num>
  <w:num w:numId="16" w16cid:durableId="463044361">
    <w:abstractNumId w:val="11"/>
  </w:num>
  <w:num w:numId="17" w16cid:durableId="1326058337">
    <w:abstractNumId w:val="4"/>
  </w:num>
  <w:num w:numId="18" w16cid:durableId="626936604">
    <w:abstractNumId w:val="13"/>
  </w:num>
  <w:num w:numId="19" w16cid:durableId="1304198493">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274"/>
    <w:rsid w:val="00001418"/>
    <w:rsid w:val="000014BF"/>
    <w:rsid w:val="000040E1"/>
    <w:rsid w:val="00004A95"/>
    <w:rsid w:val="00005225"/>
    <w:rsid w:val="00011150"/>
    <w:rsid w:val="0001429F"/>
    <w:rsid w:val="00014C04"/>
    <w:rsid w:val="00014D74"/>
    <w:rsid w:val="000151A0"/>
    <w:rsid w:val="00020DD8"/>
    <w:rsid w:val="000210BE"/>
    <w:rsid w:val="00021721"/>
    <w:rsid w:val="000270D9"/>
    <w:rsid w:val="00031151"/>
    <w:rsid w:val="00032507"/>
    <w:rsid w:val="0003292F"/>
    <w:rsid w:val="00033462"/>
    <w:rsid w:val="000402E4"/>
    <w:rsid w:val="0004276D"/>
    <w:rsid w:val="00044E8D"/>
    <w:rsid w:val="00050EFF"/>
    <w:rsid w:val="00053245"/>
    <w:rsid w:val="00053AA4"/>
    <w:rsid w:val="00053FA7"/>
    <w:rsid w:val="00054BD9"/>
    <w:rsid w:val="00054DBC"/>
    <w:rsid w:val="000554B8"/>
    <w:rsid w:val="00055D18"/>
    <w:rsid w:val="00061742"/>
    <w:rsid w:val="0006188E"/>
    <w:rsid w:val="00062470"/>
    <w:rsid w:val="000634BE"/>
    <w:rsid w:val="00063829"/>
    <w:rsid w:val="00064F9D"/>
    <w:rsid w:val="00066B5C"/>
    <w:rsid w:val="000715DA"/>
    <w:rsid w:val="00071C85"/>
    <w:rsid w:val="0007365C"/>
    <w:rsid w:val="00075199"/>
    <w:rsid w:val="00076197"/>
    <w:rsid w:val="00077604"/>
    <w:rsid w:val="00077D55"/>
    <w:rsid w:val="000843F3"/>
    <w:rsid w:val="00093B81"/>
    <w:rsid w:val="00094474"/>
    <w:rsid w:val="000A03C6"/>
    <w:rsid w:val="000A1C54"/>
    <w:rsid w:val="000A3B36"/>
    <w:rsid w:val="000A55D6"/>
    <w:rsid w:val="000B1781"/>
    <w:rsid w:val="000B350E"/>
    <w:rsid w:val="000B51FB"/>
    <w:rsid w:val="000B6737"/>
    <w:rsid w:val="000B6846"/>
    <w:rsid w:val="000B7A4F"/>
    <w:rsid w:val="000C1703"/>
    <w:rsid w:val="000C1B43"/>
    <w:rsid w:val="000C41EA"/>
    <w:rsid w:val="000C4522"/>
    <w:rsid w:val="000C48BC"/>
    <w:rsid w:val="000C4D1D"/>
    <w:rsid w:val="000C5F7B"/>
    <w:rsid w:val="000C623F"/>
    <w:rsid w:val="000C695C"/>
    <w:rsid w:val="000C6B7B"/>
    <w:rsid w:val="000D2541"/>
    <w:rsid w:val="000D6E35"/>
    <w:rsid w:val="000DED06"/>
    <w:rsid w:val="000E32E4"/>
    <w:rsid w:val="000E38F4"/>
    <w:rsid w:val="000E45A7"/>
    <w:rsid w:val="000E4F1F"/>
    <w:rsid w:val="000F63A9"/>
    <w:rsid w:val="0010128E"/>
    <w:rsid w:val="00101748"/>
    <w:rsid w:val="0010652E"/>
    <w:rsid w:val="0010761A"/>
    <w:rsid w:val="0011049D"/>
    <w:rsid w:val="001125E3"/>
    <w:rsid w:val="00112E7A"/>
    <w:rsid w:val="00113AD9"/>
    <w:rsid w:val="001141BA"/>
    <w:rsid w:val="00114672"/>
    <w:rsid w:val="00115629"/>
    <w:rsid w:val="0012350A"/>
    <w:rsid w:val="0012604B"/>
    <w:rsid w:val="001306F2"/>
    <w:rsid w:val="00131569"/>
    <w:rsid w:val="00134057"/>
    <w:rsid w:val="001347CD"/>
    <w:rsid w:val="00135563"/>
    <w:rsid w:val="00140964"/>
    <w:rsid w:val="00140FEB"/>
    <w:rsid w:val="00143077"/>
    <w:rsid w:val="00145F0E"/>
    <w:rsid w:val="0015169A"/>
    <w:rsid w:val="00151921"/>
    <w:rsid w:val="00151A5D"/>
    <w:rsid w:val="00151CB7"/>
    <w:rsid w:val="00152A3C"/>
    <w:rsid w:val="00152F0C"/>
    <w:rsid w:val="00153083"/>
    <w:rsid w:val="00156932"/>
    <w:rsid w:val="00157113"/>
    <w:rsid w:val="001615CD"/>
    <w:rsid w:val="00163C5F"/>
    <w:rsid w:val="00164610"/>
    <w:rsid w:val="001656BC"/>
    <w:rsid w:val="001733EE"/>
    <w:rsid w:val="00176122"/>
    <w:rsid w:val="00176868"/>
    <w:rsid w:val="00180C0F"/>
    <w:rsid w:val="00181BEB"/>
    <w:rsid w:val="001917D7"/>
    <w:rsid w:val="001922D3"/>
    <w:rsid w:val="001941F9"/>
    <w:rsid w:val="00194806"/>
    <w:rsid w:val="001955A0"/>
    <w:rsid w:val="00195BA6"/>
    <w:rsid w:val="001A1162"/>
    <w:rsid w:val="001A16E1"/>
    <w:rsid w:val="001A326A"/>
    <w:rsid w:val="001A53BF"/>
    <w:rsid w:val="001B7197"/>
    <w:rsid w:val="001C0080"/>
    <w:rsid w:val="001C011D"/>
    <w:rsid w:val="001C3F29"/>
    <w:rsid w:val="001C6B67"/>
    <w:rsid w:val="001C6D5C"/>
    <w:rsid w:val="001D0102"/>
    <w:rsid w:val="001D097C"/>
    <w:rsid w:val="001D1528"/>
    <w:rsid w:val="001D215E"/>
    <w:rsid w:val="001D2439"/>
    <w:rsid w:val="001E197F"/>
    <w:rsid w:val="001E6DF7"/>
    <w:rsid w:val="001E7CDC"/>
    <w:rsid w:val="001F0D9E"/>
    <w:rsid w:val="001F359C"/>
    <w:rsid w:val="001F3633"/>
    <w:rsid w:val="001F4CDE"/>
    <w:rsid w:val="002017FE"/>
    <w:rsid w:val="00202B67"/>
    <w:rsid w:val="00204339"/>
    <w:rsid w:val="00205A57"/>
    <w:rsid w:val="002073BF"/>
    <w:rsid w:val="00221695"/>
    <w:rsid w:val="002219E5"/>
    <w:rsid w:val="00224E65"/>
    <w:rsid w:val="00225976"/>
    <w:rsid w:val="002272F2"/>
    <w:rsid w:val="00233CA7"/>
    <w:rsid w:val="002349F4"/>
    <w:rsid w:val="00235CB6"/>
    <w:rsid w:val="00236C95"/>
    <w:rsid w:val="00240D37"/>
    <w:rsid w:val="002413C5"/>
    <w:rsid w:val="0024237D"/>
    <w:rsid w:val="002434BE"/>
    <w:rsid w:val="002436AB"/>
    <w:rsid w:val="00243F96"/>
    <w:rsid w:val="00250897"/>
    <w:rsid w:val="002530B9"/>
    <w:rsid w:val="0025352C"/>
    <w:rsid w:val="002539E8"/>
    <w:rsid w:val="00253E08"/>
    <w:rsid w:val="00255158"/>
    <w:rsid w:val="0026654A"/>
    <w:rsid w:val="00267C22"/>
    <w:rsid w:val="00271A80"/>
    <w:rsid w:val="00273224"/>
    <w:rsid w:val="0028189F"/>
    <w:rsid w:val="002829CB"/>
    <w:rsid w:val="00287EA3"/>
    <w:rsid w:val="00295BFF"/>
    <w:rsid w:val="002A01E0"/>
    <w:rsid w:val="002A3EAE"/>
    <w:rsid w:val="002A3F6C"/>
    <w:rsid w:val="002A483A"/>
    <w:rsid w:val="002A55CF"/>
    <w:rsid w:val="002B1821"/>
    <w:rsid w:val="002B6CCA"/>
    <w:rsid w:val="002B7C08"/>
    <w:rsid w:val="002C371B"/>
    <w:rsid w:val="002C4593"/>
    <w:rsid w:val="002C6E3E"/>
    <w:rsid w:val="002C771B"/>
    <w:rsid w:val="002D00C1"/>
    <w:rsid w:val="002D1E62"/>
    <w:rsid w:val="002D4C98"/>
    <w:rsid w:val="002D71A6"/>
    <w:rsid w:val="002E2C05"/>
    <w:rsid w:val="002E405B"/>
    <w:rsid w:val="002E5247"/>
    <w:rsid w:val="002E707A"/>
    <w:rsid w:val="002F0A48"/>
    <w:rsid w:val="002F0B53"/>
    <w:rsid w:val="002F25D6"/>
    <w:rsid w:val="002F2892"/>
    <w:rsid w:val="003023B5"/>
    <w:rsid w:val="00304EBE"/>
    <w:rsid w:val="00307CC9"/>
    <w:rsid w:val="003104B0"/>
    <w:rsid w:val="003112A3"/>
    <w:rsid w:val="0031236D"/>
    <w:rsid w:val="0031558B"/>
    <w:rsid w:val="003156BB"/>
    <w:rsid w:val="00316C69"/>
    <w:rsid w:val="003174B4"/>
    <w:rsid w:val="00321A55"/>
    <w:rsid w:val="00321F8A"/>
    <w:rsid w:val="003221C3"/>
    <w:rsid w:val="0032475A"/>
    <w:rsid w:val="00326F18"/>
    <w:rsid w:val="00333EE6"/>
    <w:rsid w:val="00345810"/>
    <w:rsid w:val="00351AFE"/>
    <w:rsid w:val="00353F9F"/>
    <w:rsid w:val="003556D4"/>
    <w:rsid w:val="00356742"/>
    <w:rsid w:val="0036061B"/>
    <w:rsid w:val="00361162"/>
    <w:rsid w:val="00365235"/>
    <w:rsid w:val="0037107E"/>
    <w:rsid w:val="003718AA"/>
    <w:rsid w:val="0037194F"/>
    <w:rsid w:val="0037413F"/>
    <w:rsid w:val="00374E14"/>
    <w:rsid w:val="0037514A"/>
    <w:rsid w:val="00375733"/>
    <w:rsid w:val="00376227"/>
    <w:rsid w:val="0037763B"/>
    <w:rsid w:val="00381014"/>
    <w:rsid w:val="003815A5"/>
    <w:rsid w:val="0038178D"/>
    <w:rsid w:val="00384A54"/>
    <w:rsid w:val="0039155C"/>
    <w:rsid w:val="00394212"/>
    <w:rsid w:val="0039575E"/>
    <w:rsid w:val="003A1684"/>
    <w:rsid w:val="003A33E8"/>
    <w:rsid w:val="003A5F57"/>
    <w:rsid w:val="003A7210"/>
    <w:rsid w:val="003B0E89"/>
    <w:rsid w:val="003B16C8"/>
    <w:rsid w:val="003B3160"/>
    <w:rsid w:val="003B37E5"/>
    <w:rsid w:val="003B65E4"/>
    <w:rsid w:val="003B7171"/>
    <w:rsid w:val="003C4515"/>
    <w:rsid w:val="003C47CF"/>
    <w:rsid w:val="003D07EA"/>
    <w:rsid w:val="003D27D5"/>
    <w:rsid w:val="003D2802"/>
    <w:rsid w:val="003D2A88"/>
    <w:rsid w:val="003E0911"/>
    <w:rsid w:val="003E2391"/>
    <w:rsid w:val="003E27C6"/>
    <w:rsid w:val="003E3524"/>
    <w:rsid w:val="003E496B"/>
    <w:rsid w:val="003E4AEA"/>
    <w:rsid w:val="003E68A4"/>
    <w:rsid w:val="003F3011"/>
    <w:rsid w:val="003F3FA2"/>
    <w:rsid w:val="004019F5"/>
    <w:rsid w:val="00401A68"/>
    <w:rsid w:val="00403A55"/>
    <w:rsid w:val="00415B93"/>
    <w:rsid w:val="00420817"/>
    <w:rsid w:val="004210F9"/>
    <w:rsid w:val="00421117"/>
    <w:rsid w:val="0042224D"/>
    <w:rsid w:val="004263FF"/>
    <w:rsid w:val="00427D90"/>
    <w:rsid w:val="0043064E"/>
    <w:rsid w:val="00430892"/>
    <w:rsid w:val="00437B92"/>
    <w:rsid w:val="00437E03"/>
    <w:rsid w:val="004412F3"/>
    <w:rsid w:val="0044380D"/>
    <w:rsid w:val="00443839"/>
    <w:rsid w:val="00445C8F"/>
    <w:rsid w:val="00446333"/>
    <w:rsid w:val="004470C1"/>
    <w:rsid w:val="0045491B"/>
    <w:rsid w:val="00456880"/>
    <w:rsid w:val="00457791"/>
    <w:rsid w:val="00460E95"/>
    <w:rsid w:val="004639A1"/>
    <w:rsid w:val="00464BBB"/>
    <w:rsid w:val="00464F1F"/>
    <w:rsid w:val="004663D0"/>
    <w:rsid w:val="00467D69"/>
    <w:rsid w:val="00471165"/>
    <w:rsid w:val="004719C0"/>
    <w:rsid w:val="00475906"/>
    <w:rsid w:val="004761FC"/>
    <w:rsid w:val="00480A5A"/>
    <w:rsid w:val="004831C8"/>
    <w:rsid w:val="0049342B"/>
    <w:rsid w:val="004936FE"/>
    <w:rsid w:val="004A0D97"/>
    <w:rsid w:val="004A12C2"/>
    <w:rsid w:val="004A33F6"/>
    <w:rsid w:val="004B0426"/>
    <w:rsid w:val="004B0903"/>
    <w:rsid w:val="004B74DF"/>
    <w:rsid w:val="004C06D5"/>
    <w:rsid w:val="004C07EC"/>
    <w:rsid w:val="004C24B6"/>
    <w:rsid w:val="004C76C0"/>
    <w:rsid w:val="004D2B5C"/>
    <w:rsid w:val="004D5527"/>
    <w:rsid w:val="004D56AD"/>
    <w:rsid w:val="004D6351"/>
    <w:rsid w:val="004D7F00"/>
    <w:rsid w:val="004E09CB"/>
    <w:rsid w:val="004E2F0A"/>
    <w:rsid w:val="004E3249"/>
    <w:rsid w:val="004E3D28"/>
    <w:rsid w:val="004E4DF8"/>
    <w:rsid w:val="004E6759"/>
    <w:rsid w:val="00500CE0"/>
    <w:rsid w:val="00500EFC"/>
    <w:rsid w:val="00503366"/>
    <w:rsid w:val="005039A1"/>
    <w:rsid w:val="00504DE6"/>
    <w:rsid w:val="0050502A"/>
    <w:rsid w:val="005051C4"/>
    <w:rsid w:val="005068BB"/>
    <w:rsid w:val="00515DBE"/>
    <w:rsid w:val="00521C45"/>
    <w:rsid w:val="00526BFF"/>
    <w:rsid w:val="00531135"/>
    <w:rsid w:val="00534344"/>
    <w:rsid w:val="00534A0D"/>
    <w:rsid w:val="005424AE"/>
    <w:rsid w:val="00546EB6"/>
    <w:rsid w:val="00547AD7"/>
    <w:rsid w:val="005515A4"/>
    <w:rsid w:val="00552154"/>
    <w:rsid w:val="00553BC1"/>
    <w:rsid w:val="00554820"/>
    <w:rsid w:val="00555DB3"/>
    <w:rsid w:val="00556FE5"/>
    <w:rsid w:val="00563D86"/>
    <w:rsid w:val="00563DBE"/>
    <w:rsid w:val="005648C3"/>
    <w:rsid w:val="00565D15"/>
    <w:rsid w:val="00566B42"/>
    <w:rsid w:val="00566CFF"/>
    <w:rsid w:val="005712B4"/>
    <w:rsid w:val="00572477"/>
    <w:rsid w:val="005751D7"/>
    <w:rsid w:val="0057747C"/>
    <w:rsid w:val="005776C4"/>
    <w:rsid w:val="005836DE"/>
    <w:rsid w:val="005855EC"/>
    <w:rsid w:val="00591261"/>
    <w:rsid w:val="00592183"/>
    <w:rsid w:val="005971AE"/>
    <w:rsid w:val="005A13E8"/>
    <w:rsid w:val="005A3720"/>
    <w:rsid w:val="005B1F05"/>
    <w:rsid w:val="005B2919"/>
    <w:rsid w:val="005B5B88"/>
    <w:rsid w:val="005B5E33"/>
    <w:rsid w:val="005C2571"/>
    <w:rsid w:val="005C36A2"/>
    <w:rsid w:val="005C3A99"/>
    <w:rsid w:val="005D10AE"/>
    <w:rsid w:val="005D2E98"/>
    <w:rsid w:val="005D62D3"/>
    <w:rsid w:val="005D728C"/>
    <w:rsid w:val="005D7F28"/>
    <w:rsid w:val="005E0A6C"/>
    <w:rsid w:val="005E6174"/>
    <w:rsid w:val="005F320E"/>
    <w:rsid w:val="005F32D5"/>
    <w:rsid w:val="005F3545"/>
    <w:rsid w:val="005F6BB7"/>
    <w:rsid w:val="005F7697"/>
    <w:rsid w:val="00600BB6"/>
    <w:rsid w:val="00604536"/>
    <w:rsid w:val="00605A2B"/>
    <w:rsid w:val="00611467"/>
    <w:rsid w:val="00611866"/>
    <w:rsid w:val="00611ECF"/>
    <w:rsid w:val="006150A5"/>
    <w:rsid w:val="00616450"/>
    <w:rsid w:val="00620E37"/>
    <w:rsid w:val="0062193C"/>
    <w:rsid w:val="006222A5"/>
    <w:rsid w:val="00622970"/>
    <w:rsid w:val="0062415C"/>
    <w:rsid w:val="0062456B"/>
    <w:rsid w:val="00624C87"/>
    <w:rsid w:val="0062555D"/>
    <w:rsid w:val="0063053A"/>
    <w:rsid w:val="0063226C"/>
    <w:rsid w:val="006351EF"/>
    <w:rsid w:val="00636D25"/>
    <w:rsid w:val="0063758F"/>
    <w:rsid w:val="00640E81"/>
    <w:rsid w:val="00642D9E"/>
    <w:rsid w:val="006444B2"/>
    <w:rsid w:val="006450F8"/>
    <w:rsid w:val="0064534F"/>
    <w:rsid w:val="00646044"/>
    <w:rsid w:val="00646647"/>
    <w:rsid w:val="00651DCF"/>
    <w:rsid w:val="0067017E"/>
    <w:rsid w:val="0067217B"/>
    <w:rsid w:val="00672BB0"/>
    <w:rsid w:val="00673CEB"/>
    <w:rsid w:val="00674761"/>
    <w:rsid w:val="00680203"/>
    <w:rsid w:val="006806AE"/>
    <w:rsid w:val="00684975"/>
    <w:rsid w:val="0069495A"/>
    <w:rsid w:val="00697CA5"/>
    <w:rsid w:val="00697E75"/>
    <w:rsid w:val="006A0DCD"/>
    <w:rsid w:val="006A1D0B"/>
    <w:rsid w:val="006A6F63"/>
    <w:rsid w:val="006B2ED8"/>
    <w:rsid w:val="006B423F"/>
    <w:rsid w:val="006B638A"/>
    <w:rsid w:val="006C21F9"/>
    <w:rsid w:val="006C65E6"/>
    <w:rsid w:val="006C6780"/>
    <w:rsid w:val="006D3445"/>
    <w:rsid w:val="006D51D9"/>
    <w:rsid w:val="006D56E7"/>
    <w:rsid w:val="006D69BB"/>
    <w:rsid w:val="006E08CB"/>
    <w:rsid w:val="006E27EC"/>
    <w:rsid w:val="006E460F"/>
    <w:rsid w:val="006E6DDC"/>
    <w:rsid w:val="006E7140"/>
    <w:rsid w:val="006F00D5"/>
    <w:rsid w:val="006F064E"/>
    <w:rsid w:val="006F401C"/>
    <w:rsid w:val="00701139"/>
    <w:rsid w:val="00702687"/>
    <w:rsid w:val="00704D50"/>
    <w:rsid w:val="00707BBE"/>
    <w:rsid w:val="00711FCF"/>
    <w:rsid w:val="00712F05"/>
    <w:rsid w:val="007130ED"/>
    <w:rsid w:val="0071423E"/>
    <w:rsid w:val="0071478F"/>
    <w:rsid w:val="00714D98"/>
    <w:rsid w:val="00715C67"/>
    <w:rsid w:val="00717076"/>
    <w:rsid w:val="0071781D"/>
    <w:rsid w:val="0072128A"/>
    <w:rsid w:val="007221ED"/>
    <w:rsid w:val="00724098"/>
    <w:rsid w:val="0072604B"/>
    <w:rsid w:val="007263B4"/>
    <w:rsid w:val="0072667F"/>
    <w:rsid w:val="00732D63"/>
    <w:rsid w:val="00733BA6"/>
    <w:rsid w:val="00735433"/>
    <w:rsid w:val="00736D0F"/>
    <w:rsid w:val="007371FB"/>
    <w:rsid w:val="00737C1C"/>
    <w:rsid w:val="0074086F"/>
    <w:rsid w:val="007409B3"/>
    <w:rsid w:val="00740B9A"/>
    <w:rsid w:val="0074191C"/>
    <w:rsid w:val="00741B7F"/>
    <w:rsid w:val="00743B01"/>
    <w:rsid w:val="007448D8"/>
    <w:rsid w:val="00744DCF"/>
    <w:rsid w:val="00745E67"/>
    <w:rsid w:val="00746706"/>
    <w:rsid w:val="0075144E"/>
    <w:rsid w:val="00753BC1"/>
    <w:rsid w:val="00755208"/>
    <w:rsid w:val="00756BFF"/>
    <w:rsid w:val="007575EA"/>
    <w:rsid w:val="00761AFF"/>
    <w:rsid w:val="00761BE5"/>
    <w:rsid w:val="00763C70"/>
    <w:rsid w:val="00764645"/>
    <w:rsid w:val="00766089"/>
    <w:rsid w:val="007662E5"/>
    <w:rsid w:val="00767B8B"/>
    <w:rsid w:val="0077343F"/>
    <w:rsid w:val="007749C5"/>
    <w:rsid w:val="00774F48"/>
    <w:rsid w:val="00776829"/>
    <w:rsid w:val="007779B4"/>
    <w:rsid w:val="00777F6D"/>
    <w:rsid w:val="0078065F"/>
    <w:rsid w:val="00790F9F"/>
    <w:rsid w:val="00791A11"/>
    <w:rsid w:val="00794437"/>
    <w:rsid w:val="007957EB"/>
    <w:rsid w:val="007A0D7D"/>
    <w:rsid w:val="007A0EA7"/>
    <w:rsid w:val="007A2D03"/>
    <w:rsid w:val="007A347F"/>
    <w:rsid w:val="007A3650"/>
    <w:rsid w:val="007A449A"/>
    <w:rsid w:val="007B4344"/>
    <w:rsid w:val="007B62EE"/>
    <w:rsid w:val="007B692F"/>
    <w:rsid w:val="007C1861"/>
    <w:rsid w:val="007C44E2"/>
    <w:rsid w:val="007C6C50"/>
    <w:rsid w:val="007D3ECC"/>
    <w:rsid w:val="007D409E"/>
    <w:rsid w:val="007D657E"/>
    <w:rsid w:val="007D71E4"/>
    <w:rsid w:val="007D74E5"/>
    <w:rsid w:val="007E0B91"/>
    <w:rsid w:val="007E0CDF"/>
    <w:rsid w:val="007E572E"/>
    <w:rsid w:val="007F0D72"/>
    <w:rsid w:val="007F3F03"/>
    <w:rsid w:val="007F65E1"/>
    <w:rsid w:val="007F6C3F"/>
    <w:rsid w:val="0081007B"/>
    <w:rsid w:val="00811470"/>
    <w:rsid w:val="0081228A"/>
    <w:rsid w:val="0081387D"/>
    <w:rsid w:val="00814212"/>
    <w:rsid w:val="008146A9"/>
    <w:rsid w:val="00820274"/>
    <w:rsid w:val="0082133A"/>
    <w:rsid w:val="0082660A"/>
    <w:rsid w:val="00826A63"/>
    <w:rsid w:val="008354AF"/>
    <w:rsid w:val="0084355F"/>
    <w:rsid w:val="00847247"/>
    <w:rsid w:val="00851FF8"/>
    <w:rsid w:val="008550F5"/>
    <w:rsid w:val="00855923"/>
    <w:rsid w:val="00856875"/>
    <w:rsid w:val="00856A72"/>
    <w:rsid w:val="00860385"/>
    <w:rsid w:val="00862C39"/>
    <w:rsid w:val="00867C5D"/>
    <w:rsid w:val="00870479"/>
    <w:rsid w:val="0087047D"/>
    <w:rsid w:val="0087186A"/>
    <w:rsid w:val="0087333D"/>
    <w:rsid w:val="0087410B"/>
    <w:rsid w:val="00874C59"/>
    <w:rsid w:val="00874E06"/>
    <w:rsid w:val="00875362"/>
    <w:rsid w:val="00875D4A"/>
    <w:rsid w:val="008804A0"/>
    <w:rsid w:val="008860A3"/>
    <w:rsid w:val="00887C3A"/>
    <w:rsid w:val="00891E98"/>
    <w:rsid w:val="008958EE"/>
    <w:rsid w:val="008A0F92"/>
    <w:rsid w:val="008A1C08"/>
    <w:rsid w:val="008A2236"/>
    <w:rsid w:val="008A57EE"/>
    <w:rsid w:val="008A7295"/>
    <w:rsid w:val="008B0C42"/>
    <w:rsid w:val="008B5574"/>
    <w:rsid w:val="008B7073"/>
    <w:rsid w:val="008C4413"/>
    <w:rsid w:val="008D30C4"/>
    <w:rsid w:val="008D5E6E"/>
    <w:rsid w:val="008E2826"/>
    <w:rsid w:val="008E2D76"/>
    <w:rsid w:val="008E4C20"/>
    <w:rsid w:val="008E59F9"/>
    <w:rsid w:val="008F3B11"/>
    <w:rsid w:val="008F6BE5"/>
    <w:rsid w:val="00902650"/>
    <w:rsid w:val="00903C98"/>
    <w:rsid w:val="00904359"/>
    <w:rsid w:val="009072D1"/>
    <w:rsid w:val="0090779A"/>
    <w:rsid w:val="00910D1E"/>
    <w:rsid w:val="00912C9B"/>
    <w:rsid w:val="0091733E"/>
    <w:rsid w:val="00917B2D"/>
    <w:rsid w:val="00917E89"/>
    <w:rsid w:val="00920C6A"/>
    <w:rsid w:val="00925B8E"/>
    <w:rsid w:val="00926E5C"/>
    <w:rsid w:val="00932477"/>
    <w:rsid w:val="00937160"/>
    <w:rsid w:val="00937363"/>
    <w:rsid w:val="00943003"/>
    <w:rsid w:val="00943921"/>
    <w:rsid w:val="00946334"/>
    <w:rsid w:val="00947345"/>
    <w:rsid w:val="009505C4"/>
    <w:rsid w:val="00951183"/>
    <w:rsid w:val="009526A8"/>
    <w:rsid w:val="00961724"/>
    <w:rsid w:val="009623DA"/>
    <w:rsid w:val="00963907"/>
    <w:rsid w:val="009659A8"/>
    <w:rsid w:val="00973F7E"/>
    <w:rsid w:val="0097445A"/>
    <w:rsid w:val="0097737F"/>
    <w:rsid w:val="00977852"/>
    <w:rsid w:val="009807E8"/>
    <w:rsid w:val="009828A9"/>
    <w:rsid w:val="0098377C"/>
    <w:rsid w:val="009841E0"/>
    <w:rsid w:val="00985EBC"/>
    <w:rsid w:val="0099177A"/>
    <w:rsid w:val="009926B0"/>
    <w:rsid w:val="00993B9B"/>
    <w:rsid w:val="009959F5"/>
    <w:rsid w:val="009961DB"/>
    <w:rsid w:val="00996696"/>
    <w:rsid w:val="009A009C"/>
    <w:rsid w:val="009A19EE"/>
    <w:rsid w:val="009A1CC5"/>
    <w:rsid w:val="009A3D07"/>
    <w:rsid w:val="009A5068"/>
    <w:rsid w:val="009A5750"/>
    <w:rsid w:val="009B23F0"/>
    <w:rsid w:val="009B39DF"/>
    <w:rsid w:val="009B6DA2"/>
    <w:rsid w:val="009C055F"/>
    <w:rsid w:val="009C3CE5"/>
    <w:rsid w:val="009C6CC1"/>
    <w:rsid w:val="009D122C"/>
    <w:rsid w:val="009D1A49"/>
    <w:rsid w:val="009F4E24"/>
    <w:rsid w:val="00A00898"/>
    <w:rsid w:val="00A029FD"/>
    <w:rsid w:val="00A0676B"/>
    <w:rsid w:val="00A06AC9"/>
    <w:rsid w:val="00A1147F"/>
    <w:rsid w:val="00A13758"/>
    <w:rsid w:val="00A13D6E"/>
    <w:rsid w:val="00A145B2"/>
    <w:rsid w:val="00A153BE"/>
    <w:rsid w:val="00A20511"/>
    <w:rsid w:val="00A218AA"/>
    <w:rsid w:val="00A272ED"/>
    <w:rsid w:val="00A303D3"/>
    <w:rsid w:val="00A407DD"/>
    <w:rsid w:val="00A45E08"/>
    <w:rsid w:val="00A4652F"/>
    <w:rsid w:val="00A521B3"/>
    <w:rsid w:val="00A5518A"/>
    <w:rsid w:val="00A570D1"/>
    <w:rsid w:val="00A57DF4"/>
    <w:rsid w:val="00A6219A"/>
    <w:rsid w:val="00A62B77"/>
    <w:rsid w:val="00A66592"/>
    <w:rsid w:val="00A76B9E"/>
    <w:rsid w:val="00A90A81"/>
    <w:rsid w:val="00A919FA"/>
    <w:rsid w:val="00A958FD"/>
    <w:rsid w:val="00A96474"/>
    <w:rsid w:val="00A972C1"/>
    <w:rsid w:val="00AA0493"/>
    <w:rsid w:val="00AA1D92"/>
    <w:rsid w:val="00AA2174"/>
    <w:rsid w:val="00AA339D"/>
    <w:rsid w:val="00AA69D7"/>
    <w:rsid w:val="00AB08E3"/>
    <w:rsid w:val="00AB11B7"/>
    <w:rsid w:val="00AB16AC"/>
    <w:rsid w:val="00AB3475"/>
    <w:rsid w:val="00AB627D"/>
    <w:rsid w:val="00AB6A8C"/>
    <w:rsid w:val="00AB7864"/>
    <w:rsid w:val="00AC55FC"/>
    <w:rsid w:val="00AC5741"/>
    <w:rsid w:val="00AD11A1"/>
    <w:rsid w:val="00AD2E00"/>
    <w:rsid w:val="00AD451A"/>
    <w:rsid w:val="00AD768D"/>
    <w:rsid w:val="00AE3CB3"/>
    <w:rsid w:val="00AE600C"/>
    <w:rsid w:val="00AE704D"/>
    <w:rsid w:val="00AF121F"/>
    <w:rsid w:val="00AF280F"/>
    <w:rsid w:val="00AF31DC"/>
    <w:rsid w:val="00AF40DF"/>
    <w:rsid w:val="00AF41E8"/>
    <w:rsid w:val="00AF688D"/>
    <w:rsid w:val="00B00AAC"/>
    <w:rsid w:val="00B03C66"/>
    <w:rsid w:val="00B04966"/>
    <w:rsid w:val="00B04B1B"/>
    <w:rsid w:val="00B05C1C"/>
    <w:rsid w:val="00B07F2D"/>
    <w:rsid w:val="00B2011C"/>
    <w:rsid w:val="00B20EFE"/>
    <w:rsid w:val="00B2115E"/>
    <w:rsid w:val="00B21812"/>
    <w:rsid w:val="00B22549"/>
    <w:rsid w:val="00B24636"/>
    <w:rsid w:val="00B2662F"/>
    <w:rsid w:val="00B26A67"/>
    <w:rsid w:val="00B32FB8"/>
    <w:rsid w:val="00B33597"/>
    <w:rsid w:val="00B34200"/>
    <w:rsid w:val="00B417A9"/>
    <w:rsid w:val="00B44261"/>
    <w:rsid w:val="00B44934"/>
    <w:rsid w:val="00B466CC"/>
    <w:rsid w:val="00B52A4C"/>
    <w:rsid w:val="00B53F1F"/>
    <w:rsid w:val="00B54626"/>
    <w:rsid w:val="00B62F03"/>
    <w:rsid w:val="00B6331C"/>
    <w:rsid w:val="00B644AA"/>
    <w:rsid w:val="00B648EF"/>
    <w:rsid w:val="00B662F8"/>
    <w:rsid w:val="00B676D8"/>
    <w:rsid w:val="00B67E16"/>
    <w:rsid w:val="00B67FF5"/>
    <w:rsid w:val="00B77211"/>
    <w:rsid w:val="00B806B4"/>
    <w:rsid w:val="00B80F46"/>
    <w:rsid w:val="00B81292"/>
    <w:rsid w:val="00B84006"/>
    <w:rsid w:val="00B84AE7"/>
    <w:rsid w:val="00B850CE"/>
    <w:rsid w:val="00B8614D"/>
    <w:rsid w:val="00B93F22"/>
    <w:rsid w:val="00B9473C"/>
    <w:rsid w:val="00B95849"/>
    <w:rsid w:val="00BA27FE"/>
    <w:rsid w:val="00BA41A2"/>
    <w:rsid w:val="00BA615B"/>
    <w:rsid w:val="00BB028F"/>
    <w:rsid w:val="00BB2C21"/>
    <w:rsid w:val="00BB32DB"/>
    <w:rsid w:val="00BB66B8"/>
    <w:rsid w:val="00BC1193"/>
    <w:rsid w:val="00BC29D5"/>
    <w:rsid w:val="00BD4AC9"/>
    <w:rsid w:val="00BD5CE4"/>
    <w:rsid w:val="00BD6717"/>
    <w:rsid w:val="00BD79B7"/>
    <w:rsid w:val="00BE3583"/>
    <w:rsid w:val="00BE42C6"/>
    <w:rsid w:val="00BE4F37"/>
    <w:rsid w:val="00BE5E38"/>
    <w:rsid w:val="00BE6C06"/>
    <w:rsid w:val="00BE747B"/>
    <w:rsid w:val="00BF12C4"/>
    <w:rsid w:val="00BF1A20"/>
    <w:rsid w:val="00BF333B"/>
    <w:rsid w:val="00BF4186"/>
    <w:rsid w:val="00C01EEF"/>
    <w:rsid w:val="00C03247"/>
    <w:rsid w:val="00C040C0"/>
    <w:rsid w:val="00C04F78"/>
    <w:rsid w:val="00C145DB"/>
    <w:rsid w:val="00C15446"/>
    <w:rsid w:val="00C23D09"/>
    <w:rsid w:val="00C24914"/>
    <w:rsid w:val="00C25E93"/>
    <w:rsid w:val="00C309E5"/>
    <w:rsid w:val="00C32134"/>
    <w:rsid w:val="00C34F6F"/>
    <w:rsid w:val="00C42637"/>
    <w:rsid w:val="00C428AB"/>
    <w:rsid w:val="00C43577"/>
    <w:rsid w:val="00C4425A"/>
    <w:rsid w:val="00C44BA4"/>
    <w:rsid w:val="00C44F3A"/>
    <w:rsid w:val="00C46FC9"/>
    <w:rsid w:val="00C50A8B"/>
    <w:rsid w:val="00C60000"/>
    <w:rsid w:val="00C614F8"/>
    <w:rsid w:val="00C62707"/>
    <w:rsid w:val="00C63478"/>
    <w:rsid w:val="00C64A46"/>
    <w:rsid w:val="00C64F01"/>
    <w:rsid w:val="00C64FD0"/>
    <w:rsid w:val="00C66353"/>
    <w:rsid w:val="00C667CE"/>
    <w:rsid w:val="00C671A0"/>
    <w:rsid w:val="00C76D18"/>
    <w:rsid w:val="00C77634"/>
    <w:rsid w:val="00C77D43"/>
    <w:rsid w:val="00C80E97"/>
    <w:rsid w:val="00C817E7"/>
    <w:rsid w:val="00C82172"/>
    <w:rsid w:val="00C90442"/>
    <w:rsid w:val="00C9525A"/>
    <w:rsid w:val="00C96B98"/>
    <w:rsid w:val="00CA4AC0"/>
    <w:rsid w:val="00CA5721"/>
    <w:rsid w:val="00CA643F"/>
    <w:rsid w:val="00CA7A16"/>
    <w:rsid w:val="00CB31FE"/>
    <w:rsid w:val="00CB3B80"/>
    <w:rsid w:val="00CB4A35"/>
    <w:rsid w:val="00CC7438"/>
    <w:rsid w:val="00CD326E"/>
    <w:rsid w:val="00CE45F8"/>
    <w:rsid w:val="00CE5F1D"/>
    <w:rsid w:val="00CF0780"/>
    <w:rsid w:val="00CF25FF"/>
    <w:rsid w:val="00CF2C71"/>
    <w:rsid w:val="00CF2F1A"/>
    <w:rsid w:val="00CF3046"/>
    <w:rsid w:val="00CF47FC"/>
    <w:rsid w:val="00D00ADE"/>
    <w:rsid w:val="00D01406"/>
    <w:rsid w:val="00D017AB"/>
    <w:rsid w:val="00D02024"/>
    <w:rsid w:val="00D02A6F"/>
    <w:rsid w:val="00D0363D"/>
    <w:rsid w:val="00D04FA7"/>
    <w:rsid w:val="00D06ED2"/>
    <w:rsid w:val="00D10AF2"/>
    <w:rsid w:val="00D113B9"/>
    <w:rsid w:val="00D14F07"/>
    <w:rsid w:val="00D16374"/>
    <w:rsid w:val="00D16EBF"/>
    <w:rsid w:val="00D22090"/>
    <w:rsid w:val="00D25CD9"/>
    <w:rsid w:val="00D260CF"/>
    <w:rsid w:val="00D272BD"/>
    <w:rsid w:val="00D27ACC"/>
    <w:rsid w:val="00D3041A"/>
    <w:rsid w:val="00D320D6"/>
    <w:rsid w:val="00D32157"/>
    <w:rsid w:val="00D32C22"/>
    <w:rsid w:val="00D40364"/>
    <w:rsid w:val="00D41C07"/>
    <w:rsid w:val="00D456F7"/>
    <w:rsid w:val="00D46228"/>
    <w:rsid w:val="00D508BB"/>
    <w:rsid w:val="00D5138B"/>
    <w:rsid w:val="00D5157B"/>
    <w:rsid w:val="00D52FDF"/>
    <w:rsid w:val="00D57325"/>
    <w:rsid w:val="00D60D3D"/>
    <w:rsid w:val="00D61AFB"/>
    <w:rsid w:val="00D61BE7"/>
    <w:rsid w:val="00D62E2B"/>
    <w:rsid w:val="00D6364C"/>
    <w:rsid w:val="00D63B60"/>
    <w:rsid w:val="00D64B46"/>
    <w:rsid w:val="00D70870"/>
    <w:rsid w:val="00D732C6"/>
    <w:rsid w:val="00D82AB7"/>
    <w:rsid w:val="00D82B9A"/>
    <w:rsid w:val="00D8311A"/>
    <w:rsid w:val="00D83350"/>
    <w:rsid w:val="00D91559"/>
    <w:rsid w:val="00D93AEB"/>
    <w:rsid w:val="00D93C99"/>
    <w:rsid w:val="00D946F6"/>
    <w:rsid w:val="00D94EE8"/>
    <w:rsid w:val="00D9602F"/>
    <w:rsid w:val="00D964C2"/>
    <w:rsid w:val="00D96F6B"/>
    <w:rsid w:val="00D97F53"/>
    <w:rsid w:val="00DA1209"/>
    <w:rsid w:val="00DB3FC2"/>
    <w:rsid w:val="00DB4D56"/>
    <w:rsid w:val="00DB7F07"/>
    <w:rsid w:val="00DC02AB"/>
    <w:rsid w:val="00DC0916"/>
    <w:rsid w:val="00DC2FEE"/>
    <w:rsid w:val="00DC55A7"/>
    <w:rsid w:val="00DC6289"/>
    <w:rsid w:val="00DC7308"/>
    <w:rsid w:val="00DD2F8F"/>
    <w:rsid w:val="00DD3A40"/>
    <w:rsid w:val="00DD3FDC"/>
    <w:rsid w:val="00DE1B70"/>
    <w:rsid w:val="00DE339D"/>
    <w:rsid w:val="00DE35E2"/>
    <w:rsid w:val="00DE3D04"/>
    <w:rsid w:val="00DE4368"/>
    <w:rsid w:val="00DE734F"/>
    <w:rsid w:val="00DF2611"/>
    <w:rsid w:val="00DF5AD5"/>
    <w:rsid w:val="00DF79F1"/>
    <w:rsid w:val="00DF7AAA"/>
    <w:rsid w:val="00DF7B86"/>
    <w:rsid w:val="00E00ACD"/>
    <w:rsid w:val="00E020A0"/>
    <w:rsid w:val="00E03C4D"/>
    <w:rsid w:val="00E07247"/>
    <w:rsid w:val="00E11C73"/>
    <w:rsid w:val="00E1591C"/>
    <w:rsid w:val="00E22BB2"/>
    <w:rsid w:val="00E22FD3"/>
    <w:rsid w:val="00E249F0"/>
    <w:rsid w:val="00E30324"/>
    <w:rsid w:val="00E329AB"/>
    <w:rsid w:val="00E34BDB"/>
    <w:rsid w:val="00E34D1D"/>
    <w:rsid w:val="00E35E1B"/>
    <w:rsid w:val="00E36185"/>
    <w:rsid w:val="00E372DE"/>
    <w:rsid w:val="00E40DD4"/>
    <w:rsid w:val="00E4184D"/>
    <w:rsid w:val="00E438F9"/>
    <w:rsid w:val="00E473E5"/>
    <w:rsid w:val="00E523DD"/>
    <w:rsid w:val="00E54963"/>
    <w:rsid w:val="00E5502C"/>
    <w:rsid w:val="00E56921"/>
    <w:rsid w:val="00E57477"/>
    <w:rsid w:val="00E57575"/>
    <w:rsid w:val="00E5772D"/>
    <w:rsid w:val="00E61408"/>
    <w:rsid w:val="00E617F1"/>
    <w:rsid w:val="00E61BF5"/>
    <w:rsid w:val="00E629C7"/>
    <w:rsid w:val="00E668BD"/>
    <w:rsid w:val="00E66FA8"/>
    <w:rsid w:val="00E6798C"/>
    <w:rsid w:val="00E7251A"/>
    <w:rsid w:val="00E73397"/>
    <w:rsid w:val="00E76AC4"/>
    <w:rsid w:val="00E76CF6"/>
    <w:rsid w:val="00E8155E"/>
    <w:rsid w:val="00E83590"/>
    <w:rsid w:val="00E85AE2"/>
    <w:rsid w:val="00E8612C"/>
    <w:rsid w:val="00E951B1"/>
    <w:rsid w:val="00EA695A"/>
    <w:rsid w:val="00EB01C6"/>
    <w:rsid w:val="00EB1805"/>
    <w:rsid w:val="00EB67C8"/>
    <w:rsid w:val="00EC41CF"/>
    <w:rsid w:val="00EC5CDB"/>
    <w:rsid w:val="00EC6371"/>
    <w:rsid w:val="00EC7C74"/>
    <w:rsid w:val="00ED0DF0"/>
    <w:rsid w:val="00ED13D7"/>
    <w:rsid w:val="00ED15C9"/>
    <w:rsid w:val="00ED4465"/>
    <w:rsid w:val="00ED472D"/>
    <w:rsid w:val="00EE0E5D"/>
    <w:rsid w:val="00EE56B5"/>
    <w:rsid w:val="00EE5BF5"/>
    <w:rsid w:val="00EF05C4"/>
    <w:rsid w:val="00EF1054"/>
    <w:rsid w:val="00EF17D6"/>
    <w:rsid w:val="00EF1F00"/>
    <w:rsid w:val="00EF4586"/>
    <w:rsid w:val="00EF4F42"/>
    <w:rsid w:val="00EF5AF2"/>
    <w:rsid w:val="00EF7D47"/>
    <w:rsid w:val="00F022FB"/>
    <w:rsid w:val="00F034DD"/>
    <w:rsid w:val="00F11871"/>
    <w:rsid w:val="00F11BEC"/>
    <w:rsid w:val="00F14B57"/>
    <w:rsid w:val="00F152C4"/>
    <w:rsid w:val="00F169A1"/>
    <w:rsid w:val="00F236B9"/>
    <w:rsid w:val="00F23E0A"/>
    <w:rsid w:val="00F2709F"/>
    <w:rsid w:val="00F27E13"/>
    <w:rsid w:val="00F309AB"/>
    <w:rsid w:val="00F31058"/>
    <w:rsid w:val="00F312F5"/>
    <w:rsid w:val="00F31903"/>
    <w:rsid w:val="00F32A46"/>
    <w:rsid w:val="00F35D89"/>
    <w:rsid w:val="00F373A2"/>
    <w:rsid w:val="00F42015"/>
    <w:rsid w:val="00F43B04"/>
    <w:rsid w:val="00F47D10"/>
    <w:rsid w:val="00F5265F"/>
    <w:rsid w:val="00F52963"/>
    <w:rsid w:val="00F543C9"/>
    <w:rsid w:val="00F54718"/>
    <w:rsid w:val="00F57A46"/>
    <w:rsid w:val="00F619FC"/>
    <w:rsid w:val="00F656BE"/>
    <w:rsid w:val="00F717F6"/>
    <w:rsid w:val="00F72C44"/>
    <w:rsid w:val="00F7318C"/>
    <w:rsid w:val="00F75440"/>
    <w:rsid w:val="00F75D09"/>
    <w:rsid w:val="00F762BF"/>
    <w:rsid w:val="00F76E21"/>
    <w:rsid w:val="00F76F04"/>
    <w:rsid w:val="00F815EB"/>
    <w:rsid w:val="00F86BD6"/>
    <w:rsid w:val="00F86D83"/>
    <w:rsid w:val="00F9084D"/>
    <w:rsid w:val="00F95151"/>
    <w:rsid w:val="00F960D3"/>
    <w:rsid w:val="00F96C58"/>
    <w:rsid w:val="00FA667C"/>
    <w:rsid w:val="00FA66C9"/>
    <w:rsid w:val="00FA6CA9"/>
    <w:rsid w:val="00FB0114"/>
    <w:rsid w:val="00FB331D"/>
    <w:rsid w:val="00FB3BDD"/>
    <w:rsid w:val="00FB5188"/>
    <w:rsid w:val="00FB79F4"/>
    <w:rsid w:val="00FB7D23"/>
    <w:rsid w:val="00FB7FFE"/>
    <w:rsid w:val="00FC2C8B"/>
    <w:rsid w:val="00FC31FD"/>
    <w:rsid w:val="00FC4578"/>
    <w:rsid w:val="00FC4E07"/>
    <w:rsid w:val="00FC5449"/>
    <w:rsid w:val="00FD084C"/>
    <w:rsid w:val="00FD230C"/>
    <w:rsid w:val="00FD6B89"/>
    <w:rsid w:val="00FE3C0B"/>
    <w:rsid w:val="00FF155D"/>
    <w:rsid w:val="00FF1C53"/>
    <w:rsid w:val="00FF21DC"/>
    <w:rsid w:val="00FF40B4"/>
    <w:rsid w:val="00FF7061"/>
    <w:rsid w:val="00FF7197"/>
    <w:rsid w:val="01E95E9D"/>
    <w:rsid w:val="027F9085"/>
    <w:rsid w:val="02837981"/>
    <w:rsid w:val="03005D72"/>
    <w:rsid w:val="03157FE3"/>
    <w:rsid w:val="03393E8F"/>
    <w:rsid w:val="0392A825"/>
    <w:rsid w:val="047294BC"/>
    <w:rsid w:val="050FEC86"/>
    <w:rsid w:val="0551BA41"/>
    <w:rsid w:val="05B98589"/>
    <w:rsid w:val="07F5B795"/>
    <w:rsid w:val="09FD6EB8"/>
    <w:rsid w:val="0A0036A6"/>
    <w:rsid w:val="0AD65D98"/>
    <w:rsid w:val="0B33CF98"/>
    <w:rsid w:val="0B808521"/>
    <w:rsid w:val="0B86006F"/>
    <w:rsid w:val="0BE9E303"/>
    <w:rsid w:val="0CCA3CF4"/>
    <w:rsid w:val="0E4E8453"/>
    <w:rsid w:val="0E73318C"/>
    <w:rsid w:val="0ED7A529"/>
    <w:rsid w:val="0F697750"/>
    <w:rsid w:val="107A62DD"/>
    <w:rsid w:val="1150D6BD"/>
    <w:rsid w:val="14145E8F"/>
    <w:rsid w:val="1437D317"/>
    <w:rsid w:val="143B0FD6"/>
    <w:rsid w:val="149F491E"/>
    <w:rsid w:val="1532EB9B"/>
    <w:rsid w:val="170D5B75"/>
    <w:rsid w:val="178155C2"/>
    <w:rsid w:val="184119AC"/>
    <w:rsid w:val="18917649"/>
    <w:rsid w:val="1922C945"/>
    <w:rsid w:val="19B7E6ED"/>
    <w:rsid w:val="1A2606D8"/>
    <w:rsid w:val="1A34A1EF"/>
    <w:rsid w:val="1A801874"/>
    <w:rsid w:val="1A8190E6"/>
    <w:rsid w:val="1C3562E9"/>
    <w:rsid w:val="1C9489F9"/>
    <w:rsid w:val="1CE35D46"/>
    <w:rsid w:val="1E308317"/>
    <w:rsid w:val="1E7DE8B1"/>
    <w:rsid w:val="1EC0071F"/>
    <w:rsid w:val="1ECBE3A6"/>
    <w:rsid w:val="1F1D65F3"/>
    <w:rsid w:val="1FA4BFD5"/>
    <w:rsid w:val="1FC172D4"/>
    <w:rsid w:val="207EBC60"/>
    <w:rsid w:val="20F181EF"/>
    <w:rsid w:val="23A65AA8"/>
    <w:rsid w:val="23B6E130"/>
    <w:rsid w:val="240238DC"/>
    <w:rsid w:val="2425C432"/>
    <w:rsid w:val="243B540A"/>
    <w:rsid w:val="255D94A5"/>
    <w:rsid w:val="265A261E"/>
    <w:rsid w:val="26649C12"/>
    <w:rsid w:val="26F16DB6"/>
    <w:rsid w:val="273B5B3C"/>
    <w:rsid w:val="27ACC940"/>
    <w:rsid w:val="27E27875"/>
    <w:rsid w:val="28D20128"/>
    <w:rsid w:val="2921FE0E"/>
    <w:rsid w:val="2939EAB8"/>
    <w:rsid w:val="2AD6B687"/>
    <w:rsid w:val="2B5F7D40"/>
    <w:rsid w:val="2C45E4FE"/>
    <w:rsid w:val="2D046C4E"/>
    <w:rsid w:val="2D7D8B83"/>
    <w:rsid w:val="2EF181E5"/>
    <w:rsid w:val="2EF5AE65"/>
    <w:rsid w:val="3046973C"/>
    <w:rsid w:val="319AA166"/>
    <w:rsid w:val="31C61735"/>
    <w:rsid w:val="31F58C79"/>
    <w:rsid w:val="31FB11A1"/>
    <w:rsid w:val="32A52FB8"/>
    <w:rsid w:val="32E513BA"/>
    <w:rsid w:val="33E3B7AB"/>
    <w:rsid w:val="349313A3"/>
    <w:rsid w:val="359A26E1"/>
    <w:rsid w:val="3603F212"/>
    <w:rsid w:val="362D2220"/>
    <w:rsid w:val="36D922A7"/>
    <w:rsid w:val="381B8666"/>
    <w:rsid w:val="38F5F6A2"/>
    <w:rsid w:val="391F2CF3"/>
    <w:rsid w:val="394B2B40"/>
    <w:rsid w:val="394F4AC4"/>
    <w:rsid w:val="3979060A"/>
    <w:rsid w:val="39FED235"/>
    <w:rsid w:val="3A10847A"/>
    <w:rsid w:val="3B8F759F"/>
    <w:rsid w:val="3C13AA41"/>
    <w:rsid w:val="3D771663"/>
    <w:rsid w:val="3F55046D"/>
    <w:rsid w:val="3F5A04F9"/>
    <w:rsid w:val="3F8B95B4"/>
    <w:rsid w:val="3FD0A38F"/>
    <w:rsid w:val="404B5155"/>
    <w:rsid w:val="40F6332C"/>
    <w:rsid w:val="40FD5051"/>
    <w:rsid w:val="41813077"/>
    <w:rsid w:val="43219304"/>
    <w:rsid w:val="4342D0AD"/>
    <w:rsid w:val="4361044D"/>
    <w:rsid w:val="43B3EAA4"/>
    <w:rsid w:val="443A4362"/>
    <w:rsid w:val="463AE57C"/>
    <w:rsid w:val="47B8F34F"/>
    <w:rsid w:val="4898E2D3"/>
    <w:rsid w:val="48A3564C"/>
    <w:rsid w:val="49C96524"/>
    <w:rsid w:val="49FD7113"/>
    <w:rsid w:val="4A0E50A8"/>
    <w:rsid w:val="4C5E5771"/>
    <w:rsid w:val="4CC5662E"/>
    <w:rsid w:val="4CCAFC13"/>
    <w:rsid w:val="4E17318E"/>
    <w:rsid w:val="4E8E42B7"/>
    <w:rsid w:val="4E9B252F"/>
    <w:rsid w:val="4F222ED2"/>
    <w:rsid w:val="4F6FBE68"/>
    <w:rsid w:val="4F7AF722"/>
    <w:rsid w:val="4F7FB679"/>
    <w:rsid w:val="4FADE7E4"/>
    <w:rsid w:val="512DA1DB"/>
    <w:rsid w:val="518CB4F9"/>
    <w:rsid w:val="51FC4F3F"/>
    <w:rsid w:val="52813FC3"/>
    <w:rsid w:val="52F0ABD6"/>
    <w:rsid w:val="57AEAD93"/>
    <w:rsid w:val="585D643A"/>
    <w:rsid w:val="5874BED7"/>
    <w:rsid w:val="5B25BFB9"/>
    <w:rsid w:val="5BADADF5"/>
    <w:rsid w:val="5C038D4E"/>
    <w:rsid w:val="5C209A96"/>
    <w:rsid w:val="5C79EED8"/>
    <w:rsid w:val="5C9552ED"/>
    <w:rsid w:val="5D149D7C"/>
    <w:rsid w:val="5D18B361"/>
    <w:rsid w:val="5D867338"/>
    <w:rsid w:val="5EB03F33"/>
    <w:rsid w:val="5F5C89D7"/>
    <w:rsid w:val="60BF7760"/>
    <w:rsid w:val="61A1F503"/>
    <w:rsid w:val="627D49F9"/>
    <w:rsid w:val="628910F5"/>
    <w:rsid w:val="629D3922"/>
    <w:rsid w:val="62A6E95D"/>
    <w:rsid w:val="62B4305A"/>
    <w:rsid w:val="64B4E3AC"/>
    <w:rsid w:val="65349BCE"/>
    <w:rsid w:val="65756CA0"/>
    <w:rsid w:val="65872CAE"/>
    <w:rsid w:val="66A1FBF8"/>
    <w:rsid w:val="66AF2272"/>
    <w:rsid w:val="686C23E5"/>
    <w:rsid w:val="68918FAB"/>
    <w:rsid w:val="68A6A7D4"/>
    <w:rsid w:val="6A7DAEAD"/>
    <w:rsid w:val="6AF0A136"/>
    <w:rsid w:val="6B56FBE1"/>
    <w:rsid w:val="6C206947"/>
    <w:rsid w:val="6CBF7C1D"/>
    <w:rsid w:val="6CEEE520"/>
    <w:rsid w:val="6D3BEB7D"/>
    <w:rsid w:val="6D75DFCD"/>
    <w:rsid w:val="6DC6FEFB"/>
    <w:rsid w:val="6E10D838"/>
    <w:rsid w:val="6E855432"/>
    <w:rsid w:val="6EE2D2C4"/>
    <w:rsid w:val="6F12B0CE"/>
    <w:rsid w:val="6F62AB8F"/>
    <w:rsid w:val="701F2520"/>
    <w:rsid w:val="71D112D3"/>
    <w:rsid w:val="7401C82F"/>
    <w:rsid w:val="74EB088D"/>
    <w:rsid w:val="74F8A887"/>
    <w:rsid w:val="7629E60C"/>
    <w:rsid w:val="766D4B45"/>
    <w:rsid w:val="772700A4"/>
    <w:rsid w:val="7828F6B1"/>
    <w:rsid w:val="79513FA6"/>
    <w:rsid w:val="7A461748"/>
    <w:rsid w:val="7A55A6BF"/>
    <w:rsid w:val="7C766043"/>
    <w:rsid w:val="7D2D0CA1"/>
    <w:rsid w:val="7D9A47C2"/>
    <w:rsid w:val="7EB1C93F"/>
    <w:rsid w:val="7EF09690"/>
    <w:rsid w:val="7F3742D4"/>
    <w:rsid w:val="7F783468"/>
    <w:rsid w:val="7FCA73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36E2C"/>
  <w15:docId w15:val="{32031D81-7008-45A1-8D22-A6C1CE10F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pPr>
        <w:autoSpaceDN w:val="0"/>
        <w:spacing w:after="16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after="0"/>
    </w:pPr>
  </w:style>
  <w:style w:type="paragraph" w:styleId="Heading1">
    <w:name w:val="heading 1"/>
    <w:basedOn w:val="Normal"/>
    <w:link w:val="Heading1Char"/>
    <w:uiPriority w:val="9"/>
    <w:qFormat/>
    <w:rsid w:val="00055D18"/>
    <w:pPr>
      <w:suppressAutoHyphens w:val="0"/>
      <w:autoSpaceDN/>
      <w:spacing w:before="120"/>
      <w:ind w:left="127"/>
      <w:textAlignment w:val="auto"/>
      <w:outlineLvl w:val="0"/>
    </w:pPr>
    <w:rPr>
      <w:rFonts w:cstheme="minorBidi"/>
      <w:b/>
      <w:bCs/>
      <w:sz w:val="24"/>
      <w:szCs w:val="24"/>
    </w:rPr>
  </w:style>
  <w:style w:type="paragraph" w:styleId="Heading5">
    <w:name w:val="heading 5"/>
    <w:basedOn w:val="Normal"/>
    <w:next w:val="Normal"/>
    <w:link w:val="Heading5Char"/>
    <w:uiPriority w:val="9"/>
    <w:unhideWhenUsed/>
    <w:qFormat/>
    <w:rsid w:val="00753BC1"/>
    <w:pPr>
      <w:keepNext/>
      <w:keepLines/>
      <w:widowControl/>
      <w:suppressAutoHyphens w:val="0"/>
      <w:autoSpaceDN/>
      <w:spacing w:before="40" w:line="259" w:lineRule="auto"/>
      <w:textAlignment w:val="auto"/>
      <w:outlineLvl w:val="4"/>
    </w:pPr>
    <w:rPr>
      <w:rFonts w:ascii="Open Sans" w:eastAsiaTheme="majorEastAsia" w:hAnsi="Open Sans"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434BE"/>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rPr>
      <w:sz w:val="16"/>
      <w:szCs w:val="16"/>
    </w:rPr>
  </w:style>
  <w:style w:type="paragraph" w:styleId="CommentText">
    <w:name w:val="annotation text"/>
    <w:basedOn w:val="Normal"/>
    <w:uiPriority w:val="99"/>
    <w:rPr>
      <w:sz w:val="20"/>
      <w:szCs w:val="20"/>
    </w:rPr>
  </w:style>
  <w:style w:type="character" w:customStyle="1" w:styleId="CommentTextChar">
    <w:name w:val="Comment Text Char"/>
    <w:basedOn w:val="DefaultParagraphFont"/>
    <w:uiPriority w:val="99"/>
    <w:rPr>
      <w:sz w:val="20"/>
      <w:szCs w:val="20"/>
    </w:rPr>
  </w:style>
  <w:style w:type="paragraph" w:styleId="BalloonText">
    <w:name w:val="Balloon Text"/>
    <w:basedOn w:val="Normal"/>
    <w:rPr>
      <w:rFonts w:ascii="Segoe UI" w:hAnsi="Segoe UI" w:cs="Segoe UI"/>
      <w:sz w:val="18"/>
      <w:szCs w:val="18"/>
    </w:rPr>
  </w:style>
  <w:style w:type="character" w:customStyle="1" w:styleId="BalloonTextChar">
    <w:name w:val="Balloon Text Char"/>
    <w:basedOn w:val="DefaultParagraphFont"/>
    <w:rPr>
      <w:rFonts w:ascii="Segoe UI" w:hAnsi="Segoe UI" w:cs="Segoe UI"/>
      <w:sz w:val="18"/>
      <w:szCs w:val="18"/>
    </w:rPr>
  </w:style>
  <w:style w:type="paragraph" w:styleId="NormalWeb">
    <w:name w:val="Normal (Web)"/>
    <w:basedOn w:val="Normal"/>
    <w:pPr>
      <w:widowControl/>
      <w:spacing w:before="100" w:after="100"/>
    </w:pPr>
    <w:rPr>
      <w:rFonts w:ascii="Times New Roman" w:eastAsia="Times New Roman" w:hAnsi="Times New Roman"/>
      <w:sz w:val="24"/>
      <w:szCs w:val="24"/>
    </w:rPr>
  </w:style>
  <w:style w:type="character" w:styleId="Emphasis">
    <w:name w:val="Emphasis"/>
    <w:basedOn w:val="DefaultParagraphFont"/>
    <w:rPr>
      <w:i/>
      <w:iCs/>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b/>
      <w:bCs/>
      <w:sz w:val="20"/>
      <w:szCs w:val="20"/>
    </w:rPr>
  </w:style>
  <w:style w:type="paragraph" w:styleId="Header">
    <w:name w:val="header"/>
    <w:basedOn w:val="Normal"/>
    <w:pPr>
      <w:tabs>
        <w:tab w:val="center" w:pos="4680"/>
        <w:tab w:val="right" w:pos="9360"/>
      </w:tabs>
    </w:pPr>
  </w:style>
  <w:style w:type="character" w:customStyle="1" w:styleId="HeaderChar">
    <w:name w:val="Header Char"/>
    <w:basedOn w:val="DefaultParagraphFont"/>
  </w:style>
  <w:style w:type="paragraph" w:styleId="Footer">
    <w:name w:val="footer"/>
    <w:basedOn w:val="Normal"/>
    <w:pPr>
      <w:tabs>
        <w:tab w:val="center" w:pos="4680"/>
        <w:tab w:val="right" w:pos="9360"/>
      </w:tabs>
    </w:pPr>
  </w:style>
  <w:style w:type="character" w:customStyle="1" w:styleId="FooterChar">
    <w:name w:val="Footer Char"/>
    <w:basedOn w:val="DefaultParagraphFont"/>
  </w:style>
  <w:style w:type="paragraph" w:styleId="ListParagraph">
    <w:name w:val="List Paragraph"/>
    <w:basedOn w:val="Normal"/>
    <w:uiPriority w:val="1"/>
    <w:qFormat/>
    <w:pPr>
      <w:ind w:left="720"/>
    </w:pPr>
  </w:style>
  <w:style w:type="character" w:styleId="Hyperlink">
    <w:name w:val="Hyperlink"/>
    <w:basedOn w:val="DefaultParagraphFont"/>
    <w:rPr>
      <w:color w:val="0563C1"/>
      <w:u w:val="single"/>
    </w:rPr>
  </w:style>
  <w:style w:type="character" w:styleId="FollowedHyperlink">
    <w:name w:val="FollowedHyperlink"/>
    <w:basedOn w:val="DefaultParagraphFont"/>
    <w:rPr>
      <w:color w:val="954F72"/>
      <w:u w:val="single"/>
    </w:rPr>
  </w:style>
  <w:style w:type="paragraph" w:styleId="BodyText">
    <w:name w:val="Body Text"/>
    <w:basedOn w:val="Normal"/>
    <w:pPr>
      <w:suppressAutoHyphens w:val="0"/>
      <w:ind w:left="460" w:hanging="360"/>
      <w:textAlignment w:val="auto"/>
    </w:pPr>
    <w:rPr>
      <w:rFonts w:ascii="Arial" w:eastAsia="Arial" w:hAnsi="Arial"/>
      <w:sz w:val="24"/>
      <w:szCs w:val="24"/>
    </w:rPr>
  </w:style>
  <w:style w:type="character" w:customStyle="1" w:styleId="BodyTextChar">
    <w:name w:val="Body Text Char"/>
    <w:basedOn w:val="DefaultParagraphFont"/>
    <w:rPr>
      <w:rFonts w:ascii="Arial" w:eastAsia="Arial" w:hAnsi="Arial" w:cs="Times New Roman"/>
      <w:sz w:val="24"/>
      <w:szCs w:val="24"/>
    </w:rPr>
  </w:style>
  <w:style w:type="paragraph" w:customStyle="1" w:styleId="Default">
    <w:name w:val="Default"/>
    <w:pPr>
      <w:autoSpaceDE w:val="0"/>
      <w:spacing w:after="0"/>
      <w:textAlignment w:val="auto"/>
    </w:pPr>
    <w:rPr>
      <w:rFonts w:ascii="Arial" w:hAnsi="Arial" w:cs="Arial"/>
      <w:color w:val="000000"/>
      <w:sz w:val="24"/>
      <w:szCs w:val="24"/>
    </w:rPr>
  </w:style>
  <w:style w:type="paragraph" w:styleId="Revision">
    <w:name w:val="Revision"/>
    <w:hidden/>
    <w:uiPriority w:val="99"/>
    <w:semiHidden/>
    <w:rsid w:val="00202B67"/>
    <w:pPr>
      <w:autoSpaceDN/>
      <w:spacing w:after="0"/>
      <w:textAlignment w:val="auto"/>
    </w:pPr>
  </w:style>
  <w:style w:type="character" w:customStyle="1" w:styleId="Heading1Char">
    <w:name w:val="Heading 1 Char"/>
    <w:basedOn w:val="DefaultParagraphFont"/>
    <w:link w:val="Heading1"/>
    <w:uiPriority w:val="9"/>
    <w:rsid w:val="00055D18"/>
    <w:rPr>
      <w:rFonts w:cstheme="minorBidi"/>
      <w:b/>
      <w:bCs/>
      <w:sz w:val="24"/>
      <w:szCs w:val="24"/>
    </w:rPr>
  </w:style>
  <w:style w:type="character" w:styleId="UnresolvedMention">
    <w:name w:val="Unresolved Mention"/>
    <w:basedOn w:val="DefaultParagraphFont"/>
    <w:uiPriority w:val="99"/>
    <w:semiHidden/>
    <w:unhideWhenUsed/>
    <w:rsid w:val="00DC02AB"/>
    <w:rPr>
      <w:color w:val="605E5C"/>
      <w:shd w:val="clear" w:color="auto" w:fill="E1DFDD"/>
    </w:rPr>
  </w:style>
  <w:style w:type="paragraph" w:customStyle="1" w:styleId="TableParagraph">
    <w:name w:val="Table Paragraph"/>
    <w:basedOn w:val="Normal"/>
    <w:uiPriority w:val="1"/>
    <w:qFormat/>
    <w:rsid w:val="007A3650"/>
    <w:pPr>
      <w:suppressAutoHyphens w:val="0"/>
      <w:autoSpaceDN/>
      <w:textAlignment w:val="auto"/>
    </w:pPr>
    <w:rPr>
      <w:rFonts w:asciiTheme="minorHAnsi" w:eastAsiaTheme="minorHAnsi" w:hAnsiTheme="minorHAnsi" w:cstheme="minorBidi"/>
    </w:rPr>
  </w:style>
  <w:style w:type="character" w:customStyle="1" w:styleId="Heading6Char">
    <w:name w:val="Heading 6 Char"/>
    <w:basedOn w:val="DefaultParagraphFont"/>
    <w:link w:val="Heading6"/>
    <w:uiPriority w:val="9"/>
    <w:semiHidden/>
    <w:rsid w:val="002434BE"/>
    <w:rPr>
      <w:rFonts w:asciiTheme="majorHAnsi" w:eastAsiaTheme="majorEastAsia" w:hAnsiTheme="majorHAnsi" w:cstheme="majorBidi"/>
      <w:color w:val="1F3763" w:themeColor="accent1" w:themeShade="7F"/>
    </w:rPr>
  </w:style>
  <w:style w:type="table" w:styleId="TableGrid">
    <w:name w:val="Table Grid"/>
    <w:basedOn w:val="TableNormal"/>
    <w:uiPriority w:val="59"/>
    <w:rsid w:val="000C695C"/>
    <w:pPr>
      <w:autoSpaceDN/>
      <w:spacing w:after="0"/>
      <w:textAlignment w:val="auto"/>
    </w:pPr>
    <w:rPr>
      <w:rFonts w:ascii="MS Reference Sans Serif" w:hAnsi="MS Reference Sans Serif" w:cs="Calibri"/>
      <w:color w:val="000000"/>
      <w:sz w:val="18"/>
      <w:szCs w:val="18"/>
    </w:rPr>
    <w:tblPr/>
  </w:style>
  <w:style w:type="character" w:styleId="IntenseReference">
    <w:name w:val="Intense Reference"/>
    <w:basedOn w:val="DefaultParagraphFont"/>
    <w:uiPriority w:val="32"/>
    <w:qFormat/>
    <w:rsid w:val="007957EB"/>
    <w:rPr>
      <w:b/>
      <w:bCs/>
      <w:smallCaps/>
      <w:color w:val="2F5496" w:themeColor="accent1" w:themeShade="BF"/>
      <w:spacing w:val="5"/>
    </w:rPr>
  </w:style>
  <w:style w:type="character" w:styleId="FootnoteReference">
    <w:name w:val="footnote reference"/>
    <w:basedOn w:val="DefaultParagraphFont"/>
    <w:uiPriority w:val="99"/>
    <w:semiHidden/>
    <w:unhideWhenUsed/>
    <w:rsid w:val="001A53BF"/>
    <w:rPr>
      <w:vertAlign w:val="superscript"/>
    </w:rPr>
  </w:style>
  <w:style w:type="numbering" w:customStyle="1" w:styleId="CurrentList1">
    <w:name w:val="Current List1"/>
    <w:uiPriority w:val="99"/>
    <w:rsid w:val="001A53BF"/>
    <w:pPr>
      <w:numPr>
        <w:numId w:val="1"/>
      </w:numPr>
    </w:pPr>
  </w:style>
  <w:style w:type="table" w:styleId="TableGridLight">
    <w:name w:val="Grid Table Light"/>
    <w:basedOn w:val="TableNormal"/>
    <w:uiPriority w:val="40"/>
    <w:rsid w:val="00E329A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ageNumber">
    <w:name w:val="page number"/>
    <w:basedOn w:val="DefaultParagraphFont"/>
    <w:rsid w:val="00180C0F"/>
  </w:style>
  <w:style w:type="character" w:customStyle="1" w:styleId="Heading5Char">
    <w:name w:val="Heading 5 Char"/>
    <w:basedOn w:val="DefaultParagraphFont"/>
    <w:link w:val="Heading5"/>
    <w:uiPriority w:val="9"/>
    <w:rsid w:val="00753BC1"/>
    <w:rPr>
      <w:rFonts w:ascii="Open Sans" w:eastAsiaTheme="majorEastAsia" w:hAnsi="Open Sans" w:cstheme="majorBidi"/>
      <w:color w:val="2F5496" w:themeColor="accent1" w:themeShade="BF"/>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354100">
      <w:bodyDiv w:val="1"/>
      <w:marLeft w:val="0"/>
      <w:marRight w:val="0"/>
      <w:marTop w:val="0"/>
      <w:marBottom w:val="0"/>
      <w:divBdr>
        <w:top w:val="none" w:sz="0" w:space="0" w:color="auto"/>
        <w:left w:val="none" w:sz="0" w:space="0" w:color="auto"/>
        <w:bottom w:val="none" w:sz="0" w:space="0" w:color="auto"/>
        <w:right w:val="none" w:sz="0" w:space="0" w:color="auto"/>
      </w:divBdr>
    </w:div>
    <w:div w:id="169680692">
      <w:bodyDiv w:val="1"/>
      <w:marLeft w:val="0"/>
      <w:marRight w:val="0"/>
      <w:marTop w:val="0"/>
      <w:marBottom w:val="0"/>
      <w:divBdr>
        <w:top w:val="none" w:sz="0" w:space="0" w:color="auto"/>
        <w:left w:val="none" w:sz="0" w:space="0" w:color="auto"/>
        <w:bottom w:val="none" w:sz="0" w:space="0" w:color="auto"/>
        <w:right w:val="none" w:sz="0" w:space="0" w:color="auto"/>
      </w:divBdr>
    </w:div>
    <w:div w:id="381179876">
      <w:bodyDiv w:val="1"/>
      <w:marLeft w:val="0"/>
      <w:marRight w:val="0"/>
      <w:marTop w:val="0"/>
      <w:marBottom w:val="0"/>
      <w:divBdr>
        <w:top w:val="none" w:sz="0" w:space="0" w:color="auto"/>
        <w:left w:val="none" w:sz="0" w:space="0" w:color="auto"/>
        <w:bottom w:val="none" w:sz="0" w:space="0" w:color="auto"/>
        <w:right w:val="none" w:sz="0" w:space="0" w:color="auto"/>
      </w:divBdr>
    </w:div>
    <w:div w:id="406809107">
      <w:bodyDiv w:val="1"/>
      <w:marLeft w:val="0"/>
      <w:marRight w:val="0"/>
      <w:marTop w:val="0"/>
      <w:marBottom w:val="0"/>
      <w:divBdr>
        <w:top w:val="none" w:sz="0" w:space="0" w:color="auto"/>
        <w:left w:val="none" w:sz="0" w:space="0" w:color="auto"/>
        <w:bottom w:val="none" w:sz="0" w:space="0" w:color="auto"/>
        <w:right w:val="none" w:sz="0" w:space="0" w:color="auto"/>
      </w:divBdr>
    </w:div>
    <w:div w:id="462232318">
      <w:bodyDiv w:val="1"/>
      <w:marLeft w:val="0"/>
      <w:marRight w:val="0"/>
      <w:marTop w:val="0"/>
      <w:marBottom w:val="0"/>
      <w:divBdr>
        <w:top w:val="none" w:sz="0" w:space="0" w:color="auto"/>
        <w:left w:val="none" w:sz="0" w:space="0" w:color="auto"/>
        <w:bottom w:val="none" w:sz="0" w:space="0" w:color="auto"/>
        <w:right w:val="none" w:sz="0" w:space="0" w:color="auto"/>
      </w:divBdr>
    </w:div>
    <w:div w:id="523783806">
      <w:bodyDiv w:val="1"/>
      <w:marLeft w:val="0"/>
      <w:marRight w:val="0"/>
      <w:marTop w:val="0"/>
      <w:marBottom w:val="0"/>
      <w:divBdr>
        <w:top w:val="none" w:sz="0" w:space="0" w:color="auto"/>
        <w:left w:val="none" w:sz="0" w:space="0" w:color="auto"/>
        <w:bottom w:val="none" w:sz="0" w:space="0" w:color="auto"/>
        <w:right w:val="none" w:sz="0" w:space="0" w:color="auto"/>
      </w:divBdr>
    </w:div>
    <w:div w:id="1020005346">
      <w:bodyDiv w:val="1"/>
      <w:marLeft w:val="0"/>
      <w:marRight w:val="0"/>
      <w:marTop w:val="0"/>
      <w:marBottom w:val="0"/>
      <w:divBdr>
        <w:top w:val="none" w:sz="0" w:space="0" w:color="auto"/>
        <w:left w:val="none" w:sz="0" w:space="0" w:color="auto"/>
        <w:bottom w:val="none" w:sz="0" w:space="0" w:color="auto"/>
        <w:right w:val="none" w:sz="0" w:space="0" w:color="auto"/>
      </w:divBdr>
    </w:div>
    <w:div w:id="1434980615">
      <w:bodyDiv w:val="1"/>
      <w:marLeft w:val="0"/>
      <w:marRight w:val="0"/>
      <w:marTop w:val="0"/>
      <w:marBottom w:val="0"/>
      <w:divBdr>
        <w:top w:val="none" w:sz="0" w:space="0" w:color="auto"/>
        <w:left w:val="none" w:sz="0" w:space="0" w:color="auto"/>
        <w:bottom w:val="none" w:sz="0" w:space="0" w:color="auto"/>
        <w:right w:val="none" w:sz="0" w:space="0" w:color="auto"/>
      </w:divBdr>
    </w:div>
    <w:div w:id="1708144104">
      <w:bodyDiv w:val="1"/>
      <w:marLeft w:val="0"/>
      <w:marRight w:val="0"/>
      <w:marTop w:val="0"/>
      <w:marBottom w:val="0"/>
      <w:divBdr>
        <w:top w:val="none" w:sz="0" w:space="0" w:color="auto"/>
        <w:left w:val="none" w:sz="0" w:space="0" w:color="auto"/>
        <w:bottom w:val="none" w:sz="0" w:space="0" w:color="auto"/>
        <w:right w:val="none" w:sz="0" w:space="0" w:color="auto"/>
      </w:divBdr>
    </w:div>
    <w:div w:id="19889705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ba29b99-1415-4084-8724-2b018b171ee9" xsi:nil="true"/>
    <lcf76f155ced4ddcb4097134ff3c332f xmlns="149f3acb-7d22-4e89-a60c-8a6524281fb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A0368E7325F3A48A6ABA166AF507C99" ma:contentTypeVersion="13" ma:contentTypeDescription="Create a new document." ma:contentTypeScope="" ma:versionID="95b52c104787623ee12b6d8fc6a9600c">
  <xsd:schema xmlns:xsd="http://www.w3.org/2001/XMLSchema" xmlns:xs="http://www.w3.org/2001/XMLSchema" xmlns:p="http://schemas.microsoft.com/office/2006/metadata/properties" xmlns:ns2="149f3acb-7d22-4e89-a60c-8a6524281fb8" xmlns:ns3="aba29b99-1415-4084-8724-2b018b171ee9" targetNamespace="http://schemas.microsoft.com/office/2006/metadata/properties" ma:root="true" ma:fieldsID="8dc7a60264200eb7085ed560d16d46b1" ns2:_="" ns3:_="">
    <xsd:import namespace="149f3acb-7d22-4e89-a60c-8a6524281fb8"/>
    <xsd:import namespace="aba29b99-1415-4084-8724-2b018b171e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9f3acb-7d22-4e89-a60c-8a6524281f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8a833a6-952d-4542-b23d-2caf5a50a2ad"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ba29b99-1415-4084-8724-2b018b171ee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768f5dc-b402-4362-8bfd-939b0add7e67}" ma:internalName="TaxCatchAll" ma:showField="CatchAllData" ma:web="aba29b99-1415-4084-8724-2b018b171e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1362F9-9A9D-4A87-8D0F-6F82AEDB82AA}">
  <ds:schemaRefs>
    <ds:schemaRef ds:uri="http://schemas.microsoft.com/sharepoint/v3/contenttype/forms"/>
  </ds:schemaRefs>
</ds:datastoreItem>
</file>

<file path=customXml/itemProps2.xml><?xml version="1.0" encoding="utf-8"?>
<ds:datastoreItem xmlns:ds="http://schemas.openxmlformats.org/officeDocument/2006/customXml" ds:itemID="{EBE5EC99-F6B7-42E2-83FE-D23143F7DE4F}">
  <ds:schemaRefs>
    <ds:schemaRef ds:uri="http://schemas.microsoft.com/office/2006/metadata/properties"/>
    <ds:schemaRef ds:uri="http://schemas.microsoft.com/office/infopath/2007/PartnerControls"/>
    <ds:schemaRef ds:uri="aba29b99-1415-4084-8724-2b018b171ee9"/>
    <ds:schemaRef ds:uri="149f3acb-7d22-4e89-a60c-8a6524281fb8"/>
  </ds:schemaRefs>
</ds:datastoreItem>
</file>

<file path=customXml/itemProps3.xml><?xml version="1.0" encoding="utf-8"?>
<ds:datastoreItem xmlns:ds="http://schemas.openxmlformats.org/officeDocument/2006/customXml" ds:itemID="{12597FE0-F15F-4E29-BB22-6D32F18DF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9f3acb-7d22-4e89-a60c-8a6524281fb8"/>
    <ds:schemaRef ds:uri="aba29b99-1415-4084-8724-2b018b171e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D4F4F8-EE45-4124-B447-1427DAB65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1511</Words>
  <Characters>9293</Characters>
  <Application>Microsoft Office Word</Application>
  <DocSecurity>0</DocSecurity>
  <Lines>489</Lines>
  <Paragraphs>186</Paragraphs>
  <ScaleCrop>false</ScaleCrop>
  <Company/>
  <LinksUpToDate>false</LinksUpToDate>
  <CharactersWithSpaces>10618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Schlichter</dc:creator>
  <cp:keywords/>
  <dc:description/>
  <cp:lastModifiedBy>Dan DiZio</cp:lastModifiedBy>
  <cp:revision>2</cp:revision>
  <cp:lastPrinted>2022-05-06T16:56:00Z</cp:lastPrinted>
  <dcterms:created xsi:type="dcterms:W3CDTF">2026-08-18T18:09:00Z</dcterms:created>
  <dcterms:modified xsi:type="dcterms:W3CDTF">2026-08-18T18:09:00Z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0x0101009A0368E7325F3A48A6ABA166AF507C99</vt:lpwstr>
  </property>
  <property fmtid="{D5CDD505-2E9C-101B-9397-08002B2CF9AE}" pid="3" name="MediaServiceImageTags">
    <vt:lpwstr/>
  </property>
</Properties>
</file>