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GHG Inventory Management Plan FY2024</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Sustainability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08/18/2026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Version 1.0</w:t>
      </w:r>
    </w:p>
    <w:p>
      <w:pPr>
        <w:spacing w:before="0" w:after="120"/>
        <w:rPr>
          <w:rFonts w:ascii="Century Gothic" w:hAnsi="Century Gothic" w:cs="Century Gothic"/>
          <w:sz w:val="20"/>
          <w:szCs w:val="20"/>
        </w:rPr>
      </w:pPr>
      <w:r>
        <w:rPr>
          <w:rFonts w:ascii="Century Gothic" w:hAnsi="Century Gothic" w:cs="Century Gothic"/>
          <w:sz w:val="20"/>
          <w:szCs w:val="20"/>
        </w:rPr>
        <w:t xml:space="preserve">March 2025</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Reporting Period</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January 1, 2024 – December 31, 2024</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Prepared by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 Global Director, Environment and Sustainability</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Introduction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Inventory Management Plan (IMP) has been developed by Vantage Specialty Chemicals, Inc. (Vantage) to outline the institutional, managerial, and technical procedures and processes used annually to collect and manage reliable, quality greenhouse gas (GHG) data. The primary objective of these procedures is to minimize the potential for errors, thereby ensuring the credibility of internal and external GHG reporting activities.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FY2024 inventory covers the fiscal year period of January 1, 2024, through December 31, 2024. CY2021 was Vantage’s first year quantifying emissions; FY2024 is the fourth complete annual inventory, reflecting continued maturation of Vantage’s GHG program, expanded Scope 3 coverage, and methodological improvements across all emission categories.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IMP supersedes the previous CY2021 Inventory Management Plan (v1.1) and reflects the current state of Vantage’s GHG program as of FY2024.</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Company Information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Company:  </w:t>
      </w:r>
      <w:r>
        <w:rPr>
          <w:rFonts w:ascii="Century Gothic" w:hAnsi="Century Gothic" w:cs="Century Gothic"/>
          <w:sz w:val="20"/>
          <w:szCs w:val="20"/>
        </w:rPr>
        <w:t xml:space="preserve">Vantage Specialty Chemicals, Inc.</w:t>
      </w: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Address:  </w:t>
      </w:r>
      <w:r>
        <w:rPr>
          <w:rFonts w:ascii="Century Gothic" w:hAnsi="Century Gothic" w:cs="Century Gothic"/>
          <w:sz w:val="20"/>
          <w:szCs w:val="20"/>
        </w:rPr>
        <w:t xml:space="preserve">1751 Lake Cook Rd., Suite 550, Deerfield, Illinois 60015</w:t>
      </w: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Inventory Manager:  </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462"/>
        <w:gridCol w:w="2308"/>
        <w:gridCol w:w="5030"/>
      </w:tblGrid>
      <w:tr>
        <w:trPr>
          <w:cantSplit/>
          <w:tblHeader/>
        </w:trPr>
        <w:tc>
          <w:tcPr>
            <w:tcW w:w="346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Name</w:t>
            </w:r>
          </w:p>
        </w:tc>
        <w:tc>
          <w:tcPr>
            <w:tcW w:w="2308"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Title</w:t>
            </w:r>
          </w:p>
        </w:tc>
        <w:tc>
          <w:tcPr>
            <w:tcW w:w="503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Contact</w:t>
            </w:r>
          </w:p>
        </w:tc>
      </w:tr>
      <w:tr>
        <w:trPr>
          <w:cantSplit/>
        </w:trPr>
        <w:tc>
          <w:tcPr>
            <w:tcW w:w="346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w:t>
            </w:r>
          </w:p>
        </w:tc>
        <w:tc>
          <w:tcPr>
            <w:tcW w:w="230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Global Director, Environment and Sustainability</w:t>
            </w:r>
          </w:p>
        </w:tc>
        <w:tc>
          <w:tcPr>
            <w:tcW w:w="503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Vantage Specialty Chemicals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Organizational Boundary Definition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defines its organizational boundaries using the Operational Control approach per the World Resources Institute (WRI)/World Business Council for Sustainable Development (WBCSD) Greenhouse Gas (GHG) Protocol. Under this approach, Vantage accounts for 100% of the GHG emissions from operations over which it has operational control. This includes domestic and international properties (offices, manufacturing sites, and warehouses) which are either owned or leased by Vantage and for which Vantage has operational control.</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Facilities List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has laboratories, offices, factories, and warehouses in the United States, Mexico, South Africa, China, Brazil, Chile, France, India, Peru, Germany, Spain, Guatemala, Costa Rica, and Colombia, as well as a farm in Argentina, which it operationally controls. Each year, Vantage will identify whether new owned or leased facilities where Vantage has operational control have been added during the year and confirm the status of existing facilities, including any closures or divestitures.</w:t>
      </w:r>
    </w:p>
    <w:p>
      <w:pPr>
        <w:spacing w:before="0" w:after="120"/>
        <w:rPr>
          <w:rFonts w:ascii="Century Gothic" w:hAnsi="Century Gothic" w:cs="Century Gothic"/>
          <w:sz w:val="20"/>
          <w:szCs w:val="20"/>
        </w:rPr>
      </w:pPr>
      <w:r>
        <w:rPr>
          <w:rFonts w:ascii="Century Gothic" w:hAnsi="Century Gothic" w:cs="Century Gothic"/>
          <w:sz w:val="20"/>
          <w:szCs w:val="20"/>
        </w:rPr>
        <w:t xml:space="preserve">Key manufacturing sites included in the FY2024 inventory include: Chicago IL, Gurnee IL, Carnegie PA, Englewood OH, Dateland AZ, Fairfield NJ, Warren NJ, Pittsburgh PA, Tucson AZ (US); Agrinsa (Argentina); Leuna (Germany); Les Borges (Spain); Shanghai (China); Sao Paulo (Brazil); Santiago (Chile); South Africa; Mexico City; and Bogota (Colombia), among others.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Greenhouse Gas List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reports on the following greenhouse gases, consistent with the IPCC Fifth Assessment Report (AR5):</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CO2 (Carbon Dioxide)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CH4 (Methane)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N2O (Nitrous Oxide)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HFCs (Hydrofluorocarbons) – including HFC-134a, HFC-143a, HFC-32, and R-410A</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currently has no emissions from PFCs, NF3, or SF6.</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Emission Source Identification Procedure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Annual emission source identification is conducted by the Inventory Manager. Inquiries to Vantage’s regional and local Facilities staff are made to identify new sources at facilities, including new or changed utilities, emergency generators, refrigerant systems, and other emission sources. The Inventory Manager confirms the operational status of all existing facilities annually and determines whether newly added facilities result from organic growth or structural changes (acquisitions/divestitures).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Scope 1 Emissions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Direct emission sources included in the FY2024 inventory are identified in the table below.</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600"/>
        <w:gridCol w:w="7200"/>
      </w:tblGrid>
      <w:tr>
        <w:trPr>
          <w:cantSplit/>
          <w:tblHeader/>
        </w:trPr>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Source Category</w:t>
            </w:r>
          </w:p>
        </w:tc>
        <w:tc>
          <w:tcPr>
            <w:tcW w:w="72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Sources Included</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Stationary Combustion</w:t>
            </w:r>
          </w:p>
        </w:tc>
        <w:tc>
          <w:tcPr>
            <w:tcW w:w="72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Natural Gas, Propane, Dry Ice (CO2)</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Mobile Combustion</w:t>
            </w:r>
          </w:p>
        </w:tc>
        <w:tc>
          <w:tcPr>
            <w:tcW w:w="72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Petrol (Gasoline), Diesel</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Refrigeration / AC Equipment</w:t>
            </w:r>
          </w:p>
        </w:tc>
        <w:tc>
          <w:tcPr>
            <w:tcW w:w="72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R-410A, HFC-143a, HFC-134a</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Agricultural (Agrinsa Farm)</w:t>
            </w:r>
          </w:p>
        </w:tc>
        <w:tc>
          <w:tcPr>
            <w:tcW w:w="72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Fertilizer use (N2O), Diesel and Gasoline from farm vehicles</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Total Scope 1 FY2024 emissions: 59,695 mtCO2e (Market-Based and Location-Based).</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Scope 2 Emissions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FY2024 inventory includes purchased electricity and purchased steam consumed by Vantage’s domestic and international properties over which Vantage has operational control. Both location-based and market-based methods are reported.</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FY2024 Scope 2 totals are as follows: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Market-Based: 22,563 mtCO2e</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Location-Based: 39,043 mtCO2e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Renewable Energy Certificates (RECs) are applied under the market-based method, resulting in a credit of -217 mtCO2e for FY2024.</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Electricity Emission Factors</w:t>
      </w:r>
    </w:p>
    <w:p>
      <w:pPr>
        <w:spacing w:before="0" w:after="120"/>
        <w:rPr>
          <w:rFonts w:ascii="Century Gothic" w:hAnsi="Century Gothic" w:cs="Century Gothic"/>
          <w:sz w:val="20"/>
          <w:szCs w:val="20"/>
        </w:rPr>
      </w:pPr>
      <w:r>
        <w:rPr>
          <w:rFonts w:ascii="Century Gothic" w:hAnsi="Century Gothic" w:cs="Century Gothic"/>
          <w:sz w:val="20"/>
          <w:szCs w:val="20"/>
        </w:rPr>
        <w:t xml:space="preserve">Location-Based: The emission factors used for electricity in the United States are EPA eGRID subregion emission rates. International facilities use IEA emission rates, with country-specific factors applied where available.</w:t>
      </w:r>
    </w:p>
    <w:p>
      <w:pPr>
        <w:spacing w:before="0" w:after="120"/>
        <w:rPr>
          <w:rFonts w:ascii="Century Gothic" w:hAnsi="Century Gothic" w:cs="Century Gothic"/>
          <w:sz w:val="20"/>
          <w:szCs w:val="20"/>
        </w:rPr>
      </w:pPr>
      <w:r>
        <w:rPr>
          <w:rFonts w:ascii="Century Gothic" w:hAnsi="Century Gothic" w:cs="Century Gothic"/>
          <w:sz w:val="20"/>
          <w:szCs w:val="20"/>
        </w:rPr>
        <w:t xml:space="preserve">Market-Based: Supplier-specific emission factors are applied where provided (e.g., Carnegie PA, Chicago IL, Gurnee IL). Residual mix factors are used where applicable. RECs are accounted for in the market-based calculation.</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Steam</w:t>
      </w:r>
    </w:p>
    <w:p>
      <w:pPr>
        <w:spacing w:before="0" w:after="120"/>
        <w:rPr>
          <w:rFonts w:ascii="Century Gothic" w:hAnsi="Century Gothic" w:cs="Century Gothic"/>
          <w:sz w:val="20"/>
          <w:szCs w:val="20"/>
        </w:rPr>
      </w:pPr>
      <w:r>
        <w:rPr>
          <w:rFonts w:ascii="Century Gothic" w:hAnsi="Century Gothic" w:cs="Century Gothic"/>
          <w:sz w:val="20"/>
          <w:szCs w:val="20"/>
        </w:rPr>
        <w:t xml:space="preserve">Purchased steam consumption is included in Scope 2, with applicable emission factors applied based on the steam source. The only site that utilizes purchased steam from off-site is Leuna (Germany).</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Scope 3 Emissions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Following a Scope 3 screening and peer benchmarking exercise, the Scope 3 categories below were assessed for relevance. All previously “not calculated” categories have now been calculated as of FY2024.</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154"/>
        <w:gridCol w:w="1385"/>
        <w:gridCol w:w="5261"/>
      </w:tblGrid>
      <w:tr>
        <w:trPr>
          <w:cantSplit/>
          <w:tblHeader/>
        </w:trPr>
        <w:tc>
          <w:tcPr>
            <w:tcW w:w="415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Scope 3 Category</w:t>
            </w:r>
          </w:p>
        </w:tc>
        <w:tc>
          <w:tcPr>
            <w:tcW w:w="13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Relevance</w:t>
            </w:r>
          </w:p>
        </w:tc>
        <w:tc>
          <w:tcPr>
            <w:tcW w:w="526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Status / Methodology</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 – Purchased Goods and Services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Hybrid Method (Activity-based using Ecoinvent v3.11 + Spend-based using EPA EEIO v1.2)</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2 – Capital Goods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Spend-based (EPA EEIO v1.2) – </w:t>
            </w:r>
            <w:r>
              <w:rPr>
                <w:rFonts w:ascii="Century Gothic" w:hAnsi="Century Gothic" w:cs="Century Gothic"/>
                <w:i/>
                <w:iCs/>
                <w:sz w:val="18"/>
                <w:szCs w:val="18"/>
              </w:rPr>
              <w:t xml:space="preserve">note that this is incorporated with Scope 3, Category 1 so therefore not delineated</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3 – Fuel and Energy Related Activities (FERA)</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Average data method (IEA 2025 emission factors)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4 – Upstream Transportation and Distribution</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Distance-based and Spend-based (EPA EEIO, DEFRA 2024)</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5 – Waste Generated in Operations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Average data method (DEFRA 2024); 9 US manufacturing sites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6 – Business Travel</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Provider-specific (air/car) + Spend-based for accommodations (EPA EEIO)</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7 – Employee Commuting</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Distance-based using geocoding; average-based method (DEFRA 2024)</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8 – Upstream Leased Assets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Spend-based (EPA EEIO v1.2)</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9 – Downstream Transportation and Distribution</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calculated (planned for future inventory)</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10 – Processing of Sold Products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11 – Use of Sold Products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Activity data method (product-specific GWPs)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12 – End-of-Life Treatment of Sold Products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Calculated – Average data method (DEFRA 2024)</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13 – Downstream Leased Assets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14 – Franchises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15 – Investments</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Not Relevant</w:t>
            </w:r>
          </w:p>
        </w:tc>
        <w:tc>
          <w:tcPr>
            <w:tcW w:w="5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Data Management / Emissions Quantification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utility and water data is collected and fed into Schneider Electric’s Resource Advisor online tool via utility API, invoice optical character recognition (OCR), or in some cases inventory manager manual entry. Scope 1, Scope 2, and Scope 3 emission calculations for the FY2024 inventory are performed using Vantage’s third-party provider, Schneider Electric. These follow the WRI/WBCSD GHG Protocol methodologies and incorporate current emission factors from the sources described in each section below.</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Scope 1 &amp; 2 Emissions</w:t>
      </w: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collects actual invoiced utility data for all properties where possible. In instances where data is unavailable, consumption is estimated using square footage and available intensity metrics.</w:t>
      </w:r>
    </w:p>
    <w:p>
      <w:pPr>
        <w:spacing w:before="0" w:after="120"/>
        <w:rPr>
          <w:rFonts w:ascii="Century Gothic" w:hAnsi="Century Gothic" w:cs="Century Gothic"/>
          <w:sz w:val="20"/>
          <w:szCs w:val="20"/>
        </w:rPr>
      </w:pPr>
      <w:r>
        <w:rPr>
          <w:rFonts w:ascii="Century Gothic" w:hAnsi="Century Gothic" w:cs="Century Gothic"/>
          <w:sz w:val="20"/>
          <w:szCs w:val="20"/>
        </w:rPr>
        <w:t xml:space="preserve">Facility personnel and finance teams obtain energy consumption from utility bills or supplier invoices. The data feeds into the Schneider Resource Advisor tool and. Then, starting in Q1 of the following year, the Schneider Electric team conducts a data gap assessment and data collection process and calculates Scope 1 &amp; 2 calculations for annual GHG reporting.</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Stationary Combustion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Natural gas emissions (mass CO2/CH4/N2O) = Natural gas consumption (MMBTU or MJ) × Emission factor</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700"/>
        <w:gridCol w:w="2700"/>
        <w:gridCol w:w="2700"/>
        <w:gridCol w:w="2700"/>
      </w:tblGrid>
      <w:tr>
        <w:trPr>
          <w:cantSplit/>
          <w:tblHeader/>
        </w:trPr>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Fuel</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CO2 EF (kg/MMBtu)</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CH4 EF (g/MMBtu)</w:t>
            </w:r>
          </w:p>
        </w:tc>
        <w:tc>
          <w:tcPr>
            <w:tcW w:w="27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N2O EF (g/MMBtu)</w:t>
            </w:r>
          </w:p>
        </w:tc>
      </w:tr>
      <w:tr>
        <w:trPr>
          <w:cantSplit/>
        </w:trPr>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Natural Gas</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53.06</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28</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26.5</w:t>
            </w:r>
          </w:p>
        </w:tc>
      </w:tr>
      <w:tr>
        <w:trPr>
          <w:cantSplit/>
        </w:trPr>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Petrol (Gasoline)</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2.33 kg/L</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8.20 g/L</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5.97 g/L</w:t>
            </w:r>
          </w:p>
        </w:tc>
      </w:tr>
      <w:tr>
        <w:trPr>
          <w:cantSplit/>
        </w:trPr>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Diesel</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2.67 kg/L</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0.29 g/L</w:t>
            </w:r>
          </w:p>
        </w:tc>
        <w:tc>
          <w:tcPr>
            <w:tcW w:w="27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33.08 g/L</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Refrigeration / AC Equipment</w:t>
      </w:r>
    </w:p>
    <w:p>
      <w:pPr>
        <w:spacing w:before="0" w:after="120"/>
        <w:rPr>
          <w:rFonts w:ascii="Century Gothic" w:hAnsi="Century Gothic" w:cs="Century Gothic"/>
          <w:sz w:val="20"/>
          <w:szCs w:val="20"/>
        </w:rPr>
      </w:pPr>
      <w:r>
        <w:rPr>
          <w:rFonts w:ascii="Century Gothic" w:hAnsi="Century Gothic" w:cs="Century Gothic"/>
          <w:sz w:val="20"/>
          <w:szCs w:val="20"/>
        </w:rPr>
        <w:t xml:space="preserve">Refrigerant emissions are calculated based on actual refrigerant consumption data reported by facilities. Where actual data is unavailable, consumption is estimated using floor area and average commercial air conditioning load factors (0.0002 kg/sq. ft. per year). Actual data is classified as Scope 1; estimated data is classified as Scope 1 with a note flagging the estimation.</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Scope 3 Emissions – Category Methodologies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1: Purchased Goods and Services</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Hybrid Method — a combination of activity-based and spend-based approaches.</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Activity-Based (Primary): Raw material volumes (in kg) are mapped to Ecoinvent v3.11 life cycle inventory processes using a category classification tree. Ecoinvent emission factors (kgCO2e/kg) are applied to each material. This approach covers the majority of Vantage’s purchased goods by weight.</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Spend-Based (Secondary): For items where activity data is unavailable, EPA EEIO v1.2 (Supply Chain GHG Emission Factors for US Industries and Commodities) spend-based factors are applied to USD expenditure. An inflation adjustment factor normalizes emission factors from the 2021 base year to the FY2024 reporting year using the BLS CPI index.</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726,053 tCO2e (Activity-Based: 719,043 tCO2e; Spend-Based: 7,011 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Inventory Manager collects raw material purchase volumes from procurement systems and maps them to the Ecoinvent classification tree. Residual spend data is obtained from financial systems.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3: Fuel and Energy Related Activities (FERA)</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Average data method using IEA 2025 emission factors.</w:t>
      </w:r>
    </w:p>
    <w:p>
      <w:pPr>
        <w:spacing w:before="0" w:after="120"/>
        <w:rPr>
          <w:rFonts w:ascii="Century Gothic" w:hAnsi="Century Gothic" w:cs="Century Gothic"/>
          <w:sz w:val="20"/>
          <w:szCs w:val="20"/>
        </w:rPr>
      </w:pPr>
      <w:r>
        <w:rPr>
          <w:rFonts w:ascii="Century Gothic" w:hAnsi="Century Gothic" w:cs="Century Gothic"/>
          <w:sz w:val="20"/>
          <w:szCs w:val="20"/>
        </w:rPr>
        <w:t xml:space="preserve">FERA emissions are calculated automatically as a function of Scope 1 and Scope 2 consumption data. The following components are included:</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Well-to-Tank (WTT) emissions for all Scope 1 fuel types (Natural Gas, Diesel, Gasoline, Propane)</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Well-to-Tank emissions for purchased electricity (WTT – Electric Power)</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Upstream Transmission and Distribution (T&amp;D) losses for purchased electricity</w:t>
      </w:r>
    </w:p>
    <w:p>
      <w:pPr>
        <w:numPr>
          <w:ilvl w:val="0"/>
          <w:numId w:val="903"/>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Well-to-Tank emissions for purchased steam</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FY2024 Total: 17,447 tCO2e. The largest contributor is WTT – Natural Gas (10,369 tCO2e), driven by Chicago IL and Gurnee IL facilities.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4: Upstream Transportation and Distribution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Hybrid — distance-based (tonne-km) where available; spend-based (EPA EEIO) where distance data is unavailable.</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Road transport: Distance-based using actual freight shipment data (tonne-km) and DEFRA 2024 emission factors. Modes include Bulk truckload (BULK), Less-than-truckload (LTL), Truckload (TL), and Parcel (PARC).</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Air, Ocean, and Rail: Spend-based using EPA EEIO v1.2 factors. An inflation adjustment is applied. Shipments over 80,000 lbs are excluded from weight-based calculations and are treated as spend-based.</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Modes and FY2024 emissions: Air (144 tCO2e), Road (13,166 tCO2e), Sea (1,098 tCO2e), Rail (3,033 tCO2e).</w:t>
      </w:r>
    </w:p>
    <w:p>
      <w:pPr>
        <w:numPr>
          <w:ilvl w:val="0"/>
          <w:numId w:val="904"/>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17,441 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Freight data is obtained from the transportation management system and logistics providers. The Inventory Manager maps each shipment to mode and calculates tonne-km where distance is available.</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5: Waste Generated in Operations</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Average data method (Method 4, Option A) using DEFRA 2024 emission factors. Waste is classified as Non-Hazardous (Landfill and Recycle), Hazardous (Incineration and Recycle), and Wastewater.</w:t>
      </w:r>
    </w:p>
    <w:p>
      <w:pPr>
        <w:spacing w:before="0" w:after="120"/>
        <w:rPr>
          <w:rFonts w:ascii="Century Gothic" w:hAnsi="Century Gothic" w:cs="Century Gothic"/>
          <w:sz w:val="20"/>
          <w:szCs w:val="20"/>
        </w:rPr>
      </w:pPr>
      <w:r>
        <w:rPr>
          <w:rFonts w:ascii="Century Gothic" w:hAnsi="Century Gothic" w:cs="Century Gothic"/>
          <w:sz w:val="20"/>
          <w:szCs w:val="20"/>
        </w:rPr>
        <w:t xml:space="preserve">Data is collected from waste hauler invoices and internal waste tracking records for each manufacturing site. Office sites without data are excluded as immaterial relative to manufacturing sites. The following 9 US manufacturing sites are included:</w:t>
      </w:r>
    </w:p>
    <w:p>
      <w:pPr>
        <w:numPr>
          <w:ilvl w:val="0"/>
          <w:numId w:val="905"/>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Carnegie PA, Chicago IL, Dateland AZ, Englewood OH, Fairfield NJ, Gurnee IL, Pittsburgh PA (Napor), Tucson AZ, Warren NJ</w:t>
      </w:r>
    </w:p>
    <w:p>
      <w:pPr>
        <w:numPr>
          <w:ilvl w:val="0"/>
          <w:numId w:val="905"/>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3,595 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Inventory Manager collects annual waste volumes (in lbs) by waste type and disposal outlet from each site’s facilities manager. Volumes are converted to kg and DEFRA 2024 emission factors are applied.</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6: Business Travel</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Provider-specific for air and car rental; spend-based (EPA EEIO) for accommodations.</w:t>
      </w:r>
    </w:p>
    <w:p>
      <w:pPr>
        <w:numPr>
          <w:ilvl w:val="0"/>
          <w:numId w:val="906"/>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Air Travel: Provider-specific CO2e emissions data obtained directly from the corporate travel management system (by passenger, route, distance, haul class, and class of service). FY2024 Air: 123 tCO2e.</w:t>
      </w:r>
    </w:p>
    <w:p>
      <w:pPr>
        <w:numPr>
          <w:ilvl w:val="0"/>
          <w:numId w:val="906"/>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Car Rental: Provider-specific emissions data obtained from the corporate travel system. FY2024 Car: 26 tCO2e.</w:t>
      </w:r>
    </w:p>
    <w:p>
      <w:pPr>
        <w:numPr>
          <w:ilvl w:val="0"/>
          <w:numId w:val="906"/>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Accommodations: Spend-based using EPA EEIO v1.2 (NAICS ‘All Other Traveler Accommodation’). Spend data is sourced from financial systems. FY2024 Accommodations: 207 tCO2e.</w:t>
      </w:r>
    </w:p>
    <w:p>
      <w:pPr>
        <w:numPr>
          <w:ilvl w:val="0"/>
          <w:numId w:val="906"/>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356 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Air and car travel data is provided by the corporate travel management platform. Accommodation spend is extracted from financial reporting.</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7: Employee Commuting</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Distance-based and average-based using DEFRA 2024 emission factors.</w:t>
      </w:r>
    </w:p>
    <w:p>
      <w:pPr>
        <w:spacing w:before="0" w:after="120"/>
        <w:rPr>
          <w:rFonts w:ascii="Century Gothic" w:hAnsi="Century Gothic" w:cs="Century Gothic"/>
          <w:sz w:val="20"/>
          <w:szCs w:val="20"/>
        </w:rPr>
      </w:pPr>
      <w:r>
        <w:rPr>
          <w:rFonts w:ascii="Century Gothic" w:hAnsi="Century Gothic" w:cs="Century Gothic"/>
          <w:sz w:val="20"/>
          <w:szCs w:val="20"/>
        </w:rPr>
        <w:t xml:space="preserve">Employee home zip codes and work locations are obtained from the HR information system. Geocoding tools are used to estimate the round-trip commuting distance between home and work for each employee. Distances below 2 miles or above 40 miles are replaced with the average regional commuting distance (31.69 miles round trip). Employees who work from home are assigned zero commuting emissions.</w:t>
      </w:r>
    </w:p>
    <w:p>
      <w:pPr>
        <w:numPr>
          <w:ilvl w:val="0"/>
          <w:numId w:val="907"/>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1,078 employees included in FY2024 calculation (546 onsite, 404 hybrid, 128 work from home).</w:t>
      </w:r>
    </w:p>
    <w:p>
      <w:pPr>
        <w:numPr>
          <w:ilvl w:val="0"/>
          <w:numId w:val="907"/>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Annual working days: 251 (per US calendar).</w:t>
      </w:r>
    </w:p>
    <w:p>
      <w:pPr>
        <w:numPr>
          <w:ilvl w:val="0"/>
          <w:numId w:val="907"/>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Assumptions: All commuting employees travel by personal vehicle; hybrid employees are assumed to commute on partial days based on their schedule.</w:t>
      </w:r>
    </w:p>
    <w:p>
      <w:pPr>
        <w:numPr>
          <w:ilvl w:val="0"/>
          <w:numId w:val="907"/>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1,587 tCO2e.</w:t>
      </w:r>
    </w:p>
    <w:p>
      <w:pPr>
        <w:spacing w:before="0" w:after="6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8: Upstream Leased Assets</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Spend-based using EPA EEIO v1.2 emission factors. This category is now calculated for FY2024 (previously classified as Not Relevant in CY2021).</w:t>
      </w:r>
    </w:p>
    <w:p>
      <w:pPr>
        <w:spacing w:before="0" w:after="120"/>
        <w:rPr>
          <w:rFonts w:ascii="Century Gothic" w:hAnsi="Century Gothic" w:cs="Century Gothic"/>
          <w:sz w:val="20"/>
          <w:szCs w:val="20"/>
        </w:rPr>
      </w:pPr>
      <w:r>
        <w:rPr>
          <w:rFonts w:ascii="Century Gothic" w:hAnsi="Century Gothic" w:cs="Century Gothic"/>
          <w:sz w:val="20"/>
          <w:szCs w:val="20"/>
        </w:rPr>
        <w:t xml:space="preserve">Spend data for facility rentals, land rentals, and equipment rentals is extracted from the financial system (GL accounts). EPA EEIO factors are applied by asset type:</w:t>
      </w:r>
    </w:p>
    <w:p>
      <w:pPr>
        <w:numPr>
          <w:ilvl w:val="0"/>
          <w:numId w:val="908"/>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Rental-Facilities (GL 730360002): NAICS General Rental Centers, EF = 0.102 kgCO2e/USD.</w:t>
      </w:r>
    </w:p>
    <w:p>
      <w:pPr>
        <w:numPr>
          <w:ilvl w:val="0"/>
          <w:numId w:val="908"/>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Rental-Land (GL 730360006): NAICS General Rental Centers, EF = 0.102 kgCO2e/USD.</w:t>
      </w:r>
    </w:p>
    <w:p>
      <w:pPr>
        <w:numPr>
          <w:ilvl w:val="0"/>
          <w:numId w:val="908"/>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Rental-Equipment: NAICS Office Machinery and Equipment Rental and Leasing, EF = 0.107 kgCO2e/USD.</w:t>
      </w:r>
    </w:p>
    <w:p>
      <w:pPr>
        <w:numPr>
          <w:ilvl w:val="0"/>
          <w:numId w:val="908"/>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FY2024 Total: 332 tCO2e.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Note: Only leased assets not already captured in Scope 1 or Scope 2 reporting are included in this category.</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11: Use of Sold Products</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Activity data method using product-specific GWPs. Applicable to Vantage’s Lenium product line, which includes HFC-based vapor degreasing solutions.</w:t>
      </w:r>
    </w:p>
    <w:p>
      <w:pPr>
        <w:spacing w:before="0" w:after="120"/>
        <w:rPr>
          <w:rFonts w:ascii="Century Gothic" w:hAnsi="Century Gothic" w:cs="Century Gothic"/>
          <w:sz w:val="20"/>
          <w:szCs w:val="20"/>
        </w:rPr>
      </w:pPr>
      <w:r>
        <w:rPr>
          <w:rFonts w:ascii="Century Gothic" w:hAnsi="Century Gothic" w:cs="Century Gothic"/>
          <w:sz w:val="20"/>
          <w:szCs w:val="20"/>
        </w:rPr>
        <w:t xml:space="preserve">Total volume sold (in lbs) by product is obtained from the sales management system. Volumes are converted to kg and multiplied by the product-specific Global Warming Potential (GWP). Products with GWP = 0 (e.g., Lenium ES, Lenium GS, Lenium TS) do not contribute to emissions.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31"/>
        <w:gridCol w:w="2631"/>
        <w:gridCol w:w="2631"/>
        <w:gridCol w:w="2307"/>
      </w:tblGrid>
      <w:tr>
        <w:trPr>
          <w:cantSplit/>
          <w:tblHeader/>
        </w:trPr>
        <w:tc>
          <w:tcPr>
            <w:tcW w:w="32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Product</w:t>
            </w:r>
          </w:p>
        </w:tc>
        <w:tc>
          <w:tcPr>
            <w:tcW w:w="26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Volume Sold FY2024 (lbs)</w:t>
            </w:r>
          </w:p>
        </w:tc>
        <w:tc>
          <w:tcPr>
            <w:tcW w:w="26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GWP (AR5)</w:t>
            </w:r>
          </w:p>
        </w:tc>
        <w:tc>
          <w:tcPr>
            <w:tcW w:w="23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Emissions (tCO2e)</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LENIUM FHD</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1,000</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990</w:t>
            </w:r>
          </w:p>
        </w:tc>
        <w:tc>
          <w:tcPr>
            <w:tcW w:w="23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449</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LENIUM FS</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999</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257</w:t>
            </w:r>
          </w:p>
        </w:tc>
        <w:tc>
          <w:tcPr>
            <w:tcW w:w="23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117</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LENIUM HT</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8,000</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c>
          <w:tcPr>
            <w:tcW w:w="23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36</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LENIUM ES / GS / TS</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Various</w:t>
            </w:r>
          </w:p>
        </w:tc>
        <w:tc>
          <w:tcPr>
            <w:tcW w:w="26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c>
          <w:tcPr>
            <w:tcW w:w="23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0</w:t>
            </w:r>
          </w:p>
        </w:tc>
      </w:tr>
      <w:tr>
        <w:trPr>
          <w:cantSplit/>
        </w:trPr>
        <w:tc>
          <w:tcPr>
            <w:tcW w:w="323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w:t>
            </w:r>
          </w:p>
        </w:tc>
        <w:tc>
          <w:tcPr>
            <w:tcW w:w="2631" w:type="dxa"/>
            <w:vAlign w:val="top"/>
          </w:tcPr>
          <w:p>
            <w:pPr>
              <w:spacing w:before="0" w:after="0"/>
              <w:rPr>
                <w:rFonts w:ascii="Century Gothic" w:hAnsi="Century Gothic" w:cs="Century Gothic"/>
                <w:sz w:val="18"/>
                <w:szCs w:val="18"/>
              </w:rPr>
            </w:pPr>
          </w:p>
        </w:tc>
        <w:tc>
          <w:tcPr>
            <w:tcW w:w="2631" w:type="dxa"/>
            <w:vAlign w:val="top"/>
          </w:tcPr>
          <w:p>
            <w:pPr>
              <w:spacing w:before="0" w:after="0"/>
              <w:rPr>
                <w:rFonts w:ascii="Century Gothic" w:hAnsi="Century Gothic" w:cs="Century Gothic"/>
                <w:sz w:val="18"/>
                <w:szCs w:val="18"/>
              </w:rPr>
            </w:pPr>
          </w:p>
        </w:tc>
        <w:tc>
          <w:tcPr>
            <w:tcW w:w="23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602</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FY2024 Total: 602 tCO2e.</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Category 12: End-of-Life Treatment of Sold Products</w:t>
      </w:r>
    </w:p>
    <w:p>
      <w:pPr>
        <w:spacing w:before="0" w:after="120"/>
        <w:rPr>
          <w:rFonts w:ascii="Century Gothic" w:hAnsi="Century Gothic" w:cs="Century Gothic"/>
          <w:sz w:val="20"/>
          <w:szCs w:val="20"/>
        </w:rPr>
      </w:pPr>
      <w:r>
        <w:rPr>
          <w:rFonts w:ascii="Century Gothic" w:hAnsi="Century Gothic" w:cs="Century Gothic"/>
          <w:sz w:val="20"/>
          <w:szCs w:val="20"/>
        </w:rPr>
        <w:t xml:space="preserve">Method: Average data method using DEFRA 2024 emission factors and US average disposal rates.</w:t>
      </w:r>
    </w:p>
    <w:p>
      <w:pPr>
        <w:spacing w:before="0" w:after="120"/>
        <w:rPr>
          <w:rFonts w:ascii="Century Gothic" w:hAnsi="Century Gothic" w:cs="Century Gothic"/>
          <w:sz w:val="20"/>
          <w:szCs w:val="20"/>
        </w:rPr>
      </w:pPr>
      <w:r>
        <w:rPr>
          <w:rFonts w:ascii="Century Gothic" w:hAnsi="Century Gothic" w:cs="Century Gothic"/>
          <w:sz w:val="20"/>
          <w:szCs w:val="20"/>
        </w:rPr>
        <w:t xml:space="preserve">Total product sales volumes are categorized by material type. Waste treatment for mixed organics is assumed to be similar to food waste treatment in the US (EPA food material-specific data). Disposal methods (landfill, recycle, compost, combustion) are assigned based on US EPA national average rates by material type.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192"/>
        <w:gridCol w:w="2804"/>
        <w:gridCol w:w="2804"/>
      </w:tblGrid>
      <w:tr>
        <w:trPr>
          <w:cantSplit/>
          <w:tblHeader/>
        </w:trPr>
        <w:tc>
          <w:tcPr>
            <w:tcW w:w="519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Material Category</w:t>
            </w:r>
          </w:p>
        </w:tc>
        <w:tc>
          <w:tcPr>
            <w:tcW w:w="28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Weight (tonnes)</w:t>
            </w:r>
          </w:p>
        </w:tc>
        <w:tc>
          <w:tcPr>
            <w:tcW w:w="280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Emissions (tCO2e)</w:t>
            </w:r>
          </w:p>
        </w:tc>
      </w:tr>
      <w:tr>
        <w:trPr>
          <w:cantSplit/>
        </w:trPr>
        <w:tc>
          <w:tcPr>
            <w:tcW w:w="51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Other (Non-organic Chemicals, Electronics, Other)</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201,884</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1,672</w:t>
            </w:r>
          </w:p>
        </w:tc>
      </w:tr>
      <w:tr>
        <w:trPr>
          <w:cantSplit/>
        </w:trPr>
        <w:tc>
          <w:tcPr>
            <w:tcW w:w="51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Mixed Organics (Food Products)</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7,268</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3,360</w:t>
            </w:r>
          </w:p>
        </w:tc>
      </w:tr>
      <w:tr>
        <w:trPr>
          <w:cantSplit/>
        </w:trPr>
        <w:tc>
          <w:tcPr>
            <w:tcW w:w="519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Mixed Organics (Other Products)</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87,858</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36,992</w:t>
            </w:r>
          </w:p>
        </w:tc>
      </w:tr>
      <w:tr>
        <w:trPr>
          <w:cantSplit/>
        </w:trPr>
        <w:tc>
          <w:tcPr>
            <w:tcW w:w="51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297,010</w:t>
            </w:r>
          </w:p>
        </w:tc>
        <w:tc>
          <w:tcPr>
            <w:tcW w:w="280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42,023</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FY2024 Total: 42,023 tCO2e. The Inventory Manager collects annual product sales volume data by product SKU from the sales management system, maps each product to a material category, and applies DEFRA 2024 disposal rate assumptions and emission factors.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Global Warming Potentials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emissions of non-CO2 greenhouse gases are converted to CO2-equivalent emissions by multiplying by the Global Warming Potential (GWP). Vantage uses the Intergovernmental Panel on Climate Change (IPCC) Fifth Assessment Report (AR5) 100-year GWPs.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0"/>
        <w:gridCol w:w="5400"/>
      </w:tblGrid>
      <w:tr>
        <w:trPr>
          <w:cantSplit/>
          <w:tblHeader/>
        </w:trPr>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Greenhouse Gas</w:t>
            </w:r>
          </w:p>
        </w:tc>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GWP (AR5)</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CO2</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CH4</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28</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N2O</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265</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HFC-134a</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1,300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HFC-143a</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4,800</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HFC-32</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677</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R-410A</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2,088</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Normalization Factor Selection and Data Collection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reports normalized emissions per square footage of total operational floor space, where applicable. Additional intensity metrics may be reported against revenue or production volume as the program matures.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Data Collection Process – Quality Assurance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Inventory Manager conducts the following quality assurance steps for each annual inventory:</w:t>
      </w:r>
    </w:p>
    <w:p>
      <w:pPr>
        <w:numPr>
          <w:ilvl w:val="0"/>
          <w:numId w:val="909"/>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Reviews all data submissions from site-level data collectors to confirm completeness across all facilities and emission sources.</w:t>
      </w:r>
    </w:p>
    <w:p>
      <w:pPr>
        <w:numPr>
          <w:ilvl w:val="0"/>
          <w:numId w:val="909"/>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Checks for consumption irregularities to ensure data conforms to expected seasonal patterns and that there are no unexplained year-over-year discrepancies.</w:t>
      </w:r>
    </w:p>
    <w:p>
      <w:pPr>
        <w:numPr>
          <w:ilvl w:val="0"/>
          <w:numId w:val="909"/>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Verifies that all calculations use current emission factors and that inflation adjustments are applied correctly.</w:t>
      </w:r>
    </w:p>
    <w:p>
      <w:pPr>
        <w:numPr>
          <w:ilvl w:val="0"/>
          <w:numId w:val="909"/>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Documents all data gaps and applies the approved gap-filling methodology (estimation using floor area, square footage intensity, or regional averages, as applicable).</w:t>
      </w:r>
    </w:p>
    <w:p>
      <w:pPr>
        <w:numPr>
          <w:ilvl w:val="0"/>
          <w:numId w:val="909"/>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Reviews year-over-year emission totals by scope and category to identify any significant outliers requiring further investigation.</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Data uncertainty may arise from estimation methodologies used in place of actual data. Where estimates are used, they are clearly flagged in Schneider’s Resource Advisor tool and the Inventory Manager documents the approach.</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Integrated Tools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All Scope 1, Scope 2, and Scope 3 emission calculations for FY2024 are performed using Schneider Electric’s third-party team, who provides workbooks for Vantage to see raw data feeds/inputs and cleaned-up outputs. These workbooks are organized by scope and category, and incorporate current emission factors from the sources listed below:</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731"/>
        <w:gridCol w:w="3300"/>
        <w:gridCol w:w="5769"/>
      </w:tblGrid>
      <w:tr>
        <w:trPr>
          <w:cantSplit/>
          <w:tblHeader/>
        </w:trPr>
        <w:tc>
          <w:tcPr>
            <w:tcW w:w="173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Scope/Cat.</w:t>
            </w:r>
          </w:p>
        </w:tc>
        <w:tc>
          <w:tcPr>
            <w:tcW w:w="33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Workbook</w:t>
            </w:r>
          </w:p>
        </w:tc>
        <w:tc>
          <w:tcPr>
            <w:tcW w:w="57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Emission Factor Source</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Scope 1 &amp; 2</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VSC FY24 Scope 1&amp;2 Inventory</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EPA eGRID, IEA, EPA AP-42, DEFRA</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C1 Purchased Goods &amp; Services</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Ecoinvent v3.11, EPA EEIO v1.2</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3</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C3 FERA</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IEA 2025</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4</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C4 Upstream T&amp;D</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EPA EEIO v1.2, DEFRA 2024</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5</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C5 Waste</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 2024</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6</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C6 Business Travel</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Provider-specific, EPA EEIO v1.2</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7</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C7 Employee Commuting</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 2024, Geocoding tool</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8</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C8 Upstream Leased Assets</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EPA EEIO v1.2</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11</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C11 Use of Sold Products</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IPCC AR5 Product-specific GWPs</w:t>
            </w:r>
          </w:p>
        </w:tc>
      </w:tr>
      <w:tr>
        <w:trPr>
          <w:cantSplit/>
        </w:trPr>
        <w:tc>
          <w:tcPr>
            <w:tcW w:w="173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12</w:t>
            </w:r>
          </w:p>
        </w:tc>
        <w:tc>
          <w:tcPr>
            <w:tcW w:w="33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C12 End of Life of Sold Products</w:t>
            </w:r>
          </w:p>
        </w:tc>
        <w:tc>
          <w:tcPr>
            <w:tcW w:w="5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DEFRA 2024, EPA WARM, US EPA disposal rates</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Emission factors are reviewed and updated annually to reflect the most current published values at the time the inventory is developed. An inflation adjustment (BLS CPI-based) is applied to normalize spend-based emission factors from their reference year to the current inventory year.</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Frequency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For Vantage, most activity data are collected monthly or quarterly and reported annually. The Inventory Manager consolidates all data and completes the annual GHG inventory following the close of each fiscal year. Results are reviewed and finalized by the end of Q2 of the following year.</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Adjusting Base Year Emissions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will follow the guidelines of the WRI/WBCSD GHG Protocol for adjusting the base year GHG inventory. CY2021 is Vantage’s established base year. The base year inventory will be adjusted in response to structural or methodology changes if the resulting adjustment is more than 5% of base year emissions. Adjustments below this threshold are considered insignificant and will be decided on a case-by-case basis.</w:t>
      </w:r>
    </w:p>
    <w:p>
      <w:pPr>
        <w:spacing w:before="0" w:after="120"/>
        <w:rPr>
          <w:rFonts w:ascii="Century Gothic" w:hAnsi="Century Gothic" w:cs="Century Gothic"/>
          <w:sz w:val="20"/>
          <w:szCs w:val="20"/>
        </w:rPr>
      </w:pPr>
      <w:r>
        <w:rPr>
          <w:rFonts w:ascii="Century Gothic" w:hAnsi="Century Gothic" w:cs="Century Gothic"/>
          <w:sz w:val="20"/>
          <w:szCs w:val="20"/>
        </w:rPr>
        <w:t xml:space="preserve">Structural change guidance:</w:t>
      </w:r>
    </w:p>
    <w:p>
      <w:pPr>
        <w:numPr>
          <w:ilvl w:val="0"/>
          <w:numId w:val="91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Mergers or acquisitions: Emissions from acquired facilities will be added to the base year inventory using actual consumption data where available, or the earliest available year otherwise.</w:t>
      </w:r>
    </w:p>
    <w:p>
      <w:pPr>
        <w:numPr>
          <w:ilvl w:val="0"/>
          <w:numId w:val="91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Divestitures: Emissions from divested facilities will be removed from the base year inventory retrospectively.</w:t>
      </w:r>
    </w:p>
    <w:p>
      <w:pPr>
        <w:numPr>
          <w:ilvl w:val="0"/>
          <w:numId w:val="91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Organic growth or decline: The base year will not be adjusted. New facilities are added from the period they commence operations; closed facilities retain historical data up to closure.</w:t>
      </w:r>
    </w:p>
    <w:p>
      <w:pPr>
        <w:numPr>
          <w:ilvl w:val="0"/>
          <w:numId w:val="91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Methodology or emission factor changes: The base year and all subsequent years will be restated to ensure comparability.</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Roles and Responsibilities</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323"/>
        <w:gridCol w:w="7477"/>
      </w:tblGrid>
      <w:tr>
        <w:trPr>
          <w:cantSplit/>
          <w:tblHeader/>
        </w:trPr>
        <w:tc>
          <w:tcPr>
            <w:tcW w:w="332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Role</w:t>
            </w:r>
          </w:p>
        </w:tc>
        <w:tc>
          <w:tcPr>
            <w:tcW w:w="747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Responsibilities</w:t>
            </w:r>
          </w:p>
        </w:tc>
      </w:tr>
      <w:tr>
        <w:trPr>
          <w:cantSplit/>
        </w:trPr>
        <w:tc>
          <w:tcPr>
            <w:tcW w:w="332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Data Collection and GHG Calculations (Schneider)</w:t>
            </w:r>
          </w:p>
        </w:tc>
        <w:tc>
          <w:tcPr>
            <w:tcW w:w="74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Collects and stores all utility data from facilities in one place: Resource Advisor. Conducts invoice gap assessments exercise regularly, and performs a calculation exercise in Q1 of each year for the prior calendar year to calculate Scopes 1, 2, and 3 GHG emissions data.</w:t>
            </w:r>
          </w:p>
        </w:tc>
      </w:tr>
      <w:tr>
        <w:trPr>
          <w:cantSplit/>
        </w:trPr>
        <w:tc>
          <w:tcPr>
            <w:tcW w:w="332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Inventory Manager (Dan DiZio)</w:t>
            </w:r>
          </w:p>
        </w:tc>
        <w:tc>
          <w:tcPr>
            <w:tcW w:w="74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Oversees the entire inventory process. Collects activity data from site-level data collectors. Identifies new emission sources and performs data quality assurance. Maintains and updates all GHG calculation workbooks, emission factors, and inflation adjustments annually. Coordinates with site-level personnel to ensure completeness.</w:t>
            </w:r>
          </w:p>
        </w:tc>
      </w:tr>
      <w:tr>
        <w:trPr>
          <w:cantSplit/>
        </w:trPr>
        <w:tc>
          <w:tcPr>
            <w:tcW w:w="332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Site Data Collectors (Facilities Managers)</w:t>
            </w:r>
          </w:p>
        </w:tc>
        <w:tc>
          <w:tcPr>
            <w:tcW w:w="74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Supply energy consumption, waste, refrigerant, and other site-level activity data to the Inventory Manager on a monthly or annual basis, as applicable.</w:t>
            </w:r>
          </w:p>
        </w:tc>
      </w:tr>
      <w:tr>
        <w:trPr>
          <w:cantSplit/>
        </w:trPr>
        <w:tc>
          <w:tcPr>
            <w:tcW w:w="332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Finance / HR / Procurement Teams</w:t>
            </w:r>
          </w:p>
        </w:tc>
        <w:tc>
          <w:tcPr>
            <w:tcW w:w="74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Provide spend data, employee commuting data, travel data, and procurement volumes as requested by the Inventory Manager to support Scope 3 calculations.</w:t>
            </w:r>
          </w:p>
        </w:tc>
      </w:tr>
      <w:tr>
        <w:trPr>
          <w:cantSplit/>
        </w:trPr>
        <w:tc>
          <w:tcPr>
            <w:tcW w:w="332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Senior Leadership</w:t>
            </w:r>
          </w:p>
        </w:tc>
        <w:tc>
          <w:tcPr>
            <w:tcW w:w="747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Conduct annual management review of the GHG inventory results and approve any material changes to methodology or reporting scope.</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Retention and Control Policy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Paper copies of utility bills are retained by facility management and property management vendors in accordance with each facility’s record retention program. The Inventory Manager maintains all electronic GHG files, workbooks, and supporting documentation indefinitely. Annual inventory workbooks are stored in the Vantage shared drive and are version-controlled with a clear naming convention.</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Internal Auditing</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Inventory Manager maintains a record of annual GHG totals by site and by scope, and compares results against prior years to identify material discrepancies. In addition to the internal QA process described above, Vantage may conduct periodic third-party verification of its GHG inventory as the program matures.</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Management Review</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Vantage’s leadership team will annually review the GHG inventory results as part of the company’s broader sustainability reporting process. The Inventory Manager presents results and any material changes in methodology or scope to leadership for sign-off prior to external disclosure.</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Corrective Action</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Any errors in the activity data that are discovered subsequent to the completion of the inventory will be corrected by the Inventory Manager. Corrections will be documented in the relevant calculation workbook with a clear description of the error, the correction made, and the date of correction. If the correction results in a change of more than 5% to any scope total, the prior year’s reported figures may be restated.</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Revision History</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385"/>
        <w:gridCol w:w="2308"/>
        <w:gridCol w:w="7107"/>
      </w:tblGrid>
      <w:tr>
        <w:trPr>
          <w:cantSplit/>
          <w:tblHeader/>
        </w:trPr>
        <w:tc>
          <w:tcPr>
            <w:tcW w:w="13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Version</w:t>
            </w:r>
          </w:p>
        </w:tc>
        <w:tc>
          <w:tcPr>
            <w:tcW w:w="2308"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Date</w:t>
            </w:r>
          </w:p>
        </w:tc>
        <w:tc>
          <w:tcPr>
            <w:tcW w:w="71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Description of Changes</w:t>
            </w:r>
          </w:p>
        </w:tc>
      </w:tr>
      <w:tr>
        <w:trPr>
          <w:cantSplit/>
        </w:trPr>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w:t>
            </w:r>
          </w:p>
        </w:tc>
        <w:tc>
          <w:tcPr>
            <w:tcW w:w="230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December 2022</w:t>
            </w:r>
          </w:p>
        </w:tc>
        <w:tc>
          <w:tcPr>
            <w:tcW w:w="71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Original version, CY2021 (Scope 1 &amp; 2 only)</w:t>
            </w:r>
          </w:p>
        </w:tc>
      </w:tr>
      <w:tr>
        <w:trPr>
          <w:cantSplit/>
        </w:trPr>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1.1</w:t>
            </w:r>
          </w:p>
        </w:tc>
        <w:tc>
          <w:tcPr>
            <w:tcW w:w="230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September 2023</w:t>
            </w:r>
          </w:p>
        </w:tc>
        <w:tc>
          <w:tcPr>
            <w:tcW w:w="71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CY2021 including Scope 3 additions (C1, C3, C4, C11, C12)</w:t>
            </w:r>
          </w:p>
        </w:tc>
      </w:tr>
      <w:tr>
        <w:trPr>
          <w:cantSplit/>
        </w:trPr>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2.0</w:t>
            </w:r>
          </w:p>
        </w:tc>
        <w:tc>
          <w:tcPr>
            <w:tcW w:w="2308"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March 2025</w:t>
            </w:r>
          </w:p>
        </w:tc>
        <w:tc>
          <w:tcPr>
            <w:tcW w:w="7107"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Updated for FY2024: All Scope 3 categories now calculated; C8 added as relevant; methodology updated from spend-based to hybrid (C1); tool changed from RouteZero 2.0 to internal workbooks; removed external consultant references; updated GWP to AR5; updated emission factors (IEA 2025, DEFRA 2024, Ecoinvent v3.11, EPA EEIO v1.2); new Inventory Manager (Dan DiZio).</w:t>
            </w:r>
          </w:p>
        </w:tc>
      </w:tr>
    </w:tbl>
    <w:p>
      <w:pPr>
        <w:spacing w:before="0" w:after="100"/>
        <w:rPr>
          <w:rFonts w:ascii="Century Gothic" w:hAnsi="Century Gothic" w:cs="Century Gothic"/>
          <w:sz w:val="20"/>
          <w:szCs w:val="20"/>
        </w:rPr>
      </w:pP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GHG Inventory Management Plan FY2024</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 w:numId="901">
    <w:abstractNumId w:val="900"/>
  </w:num>
  <w:num w:numId="902">
    <w:abstractNumId w:val="900"/>
  </w:num>
  <w:num w:numId="903">
    <w:abstractNumId w:val="900"/>
  </w:num>
  <w:num w:numId="904">
    <w:abstractNumId w:val="900"/>
  </w:num>
  <w:num w:numId="905">
    <w:abstractNumId w:val="900"/>
  </w:num>
  <w:num w:numId="906">
    <w:abstractNumId w:val="900"/>
  </w:num>
  <w:num w:numId="907">
    <w:abstractNumId w:val="900"/>
  </w:num>
  <w:num w:numId="908">
    <w:abstractNumId w:val="900"/>
  </w:num>
  <w:num w:numId="909">
    <w:abstractNumId w:val="900"/>
  </w:num>
  <w:num w:numId="910">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