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Updated ESG Materiality Assessment</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Sustainability</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April 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Based on 2022 Foundation</w:t>
      </w:r>
    </w:p>
    <w:p>
      <w:pPr>
        <w:spacing w:before="0" w:after="120"/>
        <w:rPr>
          <w:rFonts w:ascii="Century Gothic" w:hAnsi="Century Gothic" w:cs="Century Gothic"/>
          <w:sz w:val="20"/>
          <w:szCs w:val="20"/>
        </w:rPr>
      </w:pPr>
      <w:r>
        <w:rPr>
          <w:rFonts w:ascii="Century Gothic" w:hAnsi="Century Gothic" w:cs="Century Gothic"/>
          <w:sz w:val="20"/>
          <w:szCs w:val="20"/>
        </w:rPr>
        <w:t xml:space="preserve">Updated with 2024–2025 Data</w:t>
      </w:r>
    </w:p>
    <w:p>
      <w:pPr>
        <w:spacing w:before="0" w:after="120"/>
        <w:rPr>
          <w:rFonts w:ascii="Century Gothic" w:hAnsi="Century Gothic" w:cs="Century Gothic"/>
          <w:sz w:val="20"/>
          <w:szCs w:val="20"/>
        </w:rPr>
      </w:pPr>
      <w:r>
        <w:rPr>
          <w:rFonts w:ascii="Century Gothic" w:hAnsi="Century Gothic" w:cs="Century Gothic"/>
          <w:sz w:val="20"/>
          <w:szCs w:val="20"/>
        </w:rPr>
        <w:t xml:space="preserve">CONFIDENTIAL – FOR INTERNAL USE</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Prepared by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Global Director, Sustainability</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Reviewed by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SVP Corporate Affairs &amp; Sustainability</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Executive Summary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Vantage Specialty Chemicals conducted its foundational ESG Materiality Assessment in July 2022 in partnership with Anthesis Group. That process benchmarked ten priority ESG topics against five industry peers (Croda, Corbion, Clariant, Cargill, Ashland) and five key customers (Estée Lauder, Unilever, L'Oréal, Nestlé, Tree Top), and included fifteen internal stakeholder interviews across all major business units and geographies.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updated assessment retains the original ten-topic framework and two-tier prioritization structure (Strategic Priorities vs. Monitored Topics) while incorporating substantial new data and program advances from 2024–2025. It integrates evidence from Vantage's inaugural Sustainability Overview (March 2026), FY2024 GHG and water performance data, the EcoVadis Corrective Action Program, EHS monthly dashboards, the Anti-Corruption Risk Assessment, ESG Supplier Questionnaire results, and employee training records.</w:t>
      </w:r>
    </w:p>
    <w:p>
      <w:pPr>
        <w:spacing w:before="0" w:after="120"/>
        <w:rPr>
          <w:rFonts w:ascii="Century Gothic" w:hAnsi="Century Gothic" w:cs="Century Gothic"/>
          <w:sz w:val="20"/>
          <w:szCs w:val="20"/>
        </w:rPr>
      </w:pPr>
      <w:r>
        <w:rPr>
          <w:rFonts w:ascii="Century Gothic" w:hAnsi="Century Gothic" w:cs="Century Gothic"/>
          <w:sz w:val="20"/>
          <w:szCs w:val="20"/>
        </w:rPr>
        <w:t xml:space="preserve">Key progress highlights since 2022:</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23% reduction in Scope 1 &amp; 2 GHG emissions from 2021 to 2024 (107,249 → 82,258 tCO2e)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20% reduction in water withdrawal since 2021 (16,522 → 13,152 ML)</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TRIR of 0.7–0.8 in 2024–2025, well below the chemical industry average of 1.8</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ESG Steering Committee established with monthly reporting cadence to CEO and Board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ESG Supplier Questionnaire launched in 2024; REACH compliance assessment procedure developed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Comprehensive Anti-Corruption Risk Assessment completed (19 risks, 19 controls)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Human Rights Policy, Living Wage Assessment, Freedom of Association policy formalized</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&gt;80% of product portfolio derived from bio-based feedstocks; multiple sustainable product innovation awards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TCFD disclosure framework adopted; RSPO and Transparency One memberships active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Key gaps and information still needed are identified in Section 6. The updated materiality topic priority map is presented in Section 4.</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Background and Methodology</w:t>
            </w:r>
          </w:p>
        </w:tc>
      </w:tr>
    </w:tbl>
    <w:p>
      <w:pPr>
        <w:spacing w:before="0" w:after="8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1.1  Original 2022 Assessment</w:t>
      </w:r>
    </w:p>
    <w:p>
      <w:pPr>
        <w:spacing w:before="0" w:after="120"/>
        <w:rPr>
          <w:rFonts w:ascii="Century Gothic" w:hAnsi="Century Gothic" w:cs="Century Gothic"/>
          <w:sz w:val="20"/>
          <w:szCs w:val="20"/>
        </w:rPr>
      </w:pPr>
      <w:r>
        <w:rPr>
          <w:rFonts w:ascii="Century Gothic" w:hAnsi="Century Gothic" w:cs="Century Gothic"/>
          <w:sz w:val="20"/>
          <w:szCs w:val="20"/>
        </w:rPr>
        <w:t xml:space="preserve">The 2022 materiality assessment followed a four-phase methodology led by Anthesis Group:</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Phase 1 – Benchmarking: Analysis of five ESG reporting frameworks, five peer chemical companies, and five key customers across ten candidate ESG topics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Phase 2 – Internal Interviews: Fifteen structured interviews with senior leaders and BU representatives spanning Leadership, R&amp;D, Operations, HR, Supply Chain, EMEA, and Sales functions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Phase 3 – Workshop: Facilitated leadership workshop on July 13, 2022 to validate findings, prioritize topics, and define roadmap ambitions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Phase 4 – Roadmap Development: Strategic roadmaps for Climate, Sustainable Sourcing &amp; Traceability, Sustainable Product Innovation, DEI, and Governance</w:t>
      </w:r>
    </w:p>
    <w:p>
      <w:pPr>
        <w:spacing w:before="0" w:after="6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assessment used a double materiality lens — evaluating both the financial materiality of ESG issues to Vantage's business (outside-in) and Vantage's impact on society and the environment (inside-out).</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1.2  2026 Update Approach</w:t>
      </w:r>
    </w:p>
    <w:p>
      <w:pPr>
        <w:spacing w:before="0" w:after="120"/>
        <w:rPr>
          <w:rFonts w:ascii="Century Gothic" w:hAnsi="Century Gothic" w:cs="Century Gothic"/>
          <w:sz w:val="20"/>
          <w:szCs w:val="20"/>
        </w:rPr>
      </w:pPr>
      <w:r>
        <w:rPr>
          <w:rFonts w:ascii="Century Gothic" w:hAnsi="Century Gothic" w:cs="Century Gothic"/>
          <w:sz w:val="20"/>
          <w:szCs w:val="20"/>
        </w:rPr>
        <w:t xml:space="preserve">This updated assessment carries forward all original research and stakeholder input from 2022 and supplements it with the following updated sources: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14"/>
        <w:gridCol w:w="7586"/>
      </w:tblGrid>
      <w:tr>
        <w:trPr>
          <w:cantSplit/>
          <w:tblHeader/>
        </w:trPr>
        <w:tc>
          <w:tcPr>
            <w:tcW w:w="321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Source</w:t>
            </w:r>
          </w:p>
        </w:tc>
        <w:tc>
          <w:tcPr>
            <w:tcW w:w="75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Relevance</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Sustainability Overview, First Edition (March 2026)</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Environmental KPIs, governance structure, TCFD disclosure, stakeholder messaging</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VSC GHG Inventory, FY2024</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1, 2, 3 emissions; energy; intensity data</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2024 Water Data for CDP</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Site-level water withdrawal, discharge, consumption</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EHS Monthly Dashboard (Dec 2025)</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TRIR, process safety events, audit results, regulatory actions</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EcoVadis Corrective Action Plan (43 gaps)</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Documentation gaps across Environmental, Labor &amp; HR, Ethics, Sustainable Procurement themes</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Anti-Corruption Risk Assessment (Jan 2026)</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19 risks, 19 controls, 17 remediation actions across 5 business activity categories</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Supplier Assessment and Analysis ESG</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ESG supplier questionnaire coverage, risk tiering, REACH compliance</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All Training All Employees Record</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Training hours, EHS and compliance training coverage</w:t>
            </w:r>
          </w:p>
        </w:tc>
      </w:tr>
      <w:tr>
        <w:trPr>
          <w:cantSplit/>
        </w:trPr>
        <w:tc>
          <w:tcPr>
            <w:tcW w:w="321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Human Rights Policy, Living Wage Assessment, Freedom of Association Policy (2025–2026)</w:t>
            </w:r>
          </w:p>
        </w:tc>
        <w:tc>
          <w:tcPr>
            <w:tcW w:w="7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Formalization of Labor &amp; Human Rights program commitments</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Note: A formal re-survey of internal and external stakeholders has not been conducted since 2022. Section 6 identifies this as a priority gap. Original interview findings and benchmark data from 2022 have been carried forward where no updated equivalent is available.</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Updated SWOT Analysis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2022 SWOT has been revised to reflect Vantage's materially changed ESG position as of 2026. Text in italics represents new or substantially updated elements from the original assessment.</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400"/>
        <w:gridCol w:w="5400"/>
      </w:tblGrid>
      <w:tr>
        <w:trPr>
          <w:cantSplit/>
          <w:tblHeader/>
        </w:trPr>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STRENGTHS</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&gt;80% bio-based product portfolio — authentic natural chemistry story</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Industry-leading safety record (TRIR 0.7–0.8 vs. chemical industry avg. 1.8)</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Vertically integrated jojoba supply chain (traceability 'From Farm to Formulation™')</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23% Scope 1+2 GHG reduction since 2021; 20% water withdrawal reduction</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ESG Steering Committee with CEO and Board oversight (TCFD-aligned)</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Comprehensive anti-corruption, human rights, and living wage programs formalized</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Multiple product innovation awards (in-cosmetics Gold, Alle Awards, IBIE)</w:t>
            </w:r>
          </w:p>
        </w:tc>
        <w:tc>
          <w:tcPr>
            <w:tcW w:w="54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WEAKNESSES</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No formal GHG reduction targets set (SBTi or equivalent)</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EcoVadis score at Bronze (83rd percentile); Silver not yet achieved</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Renewable energy sourced minimal (478 MWh vs. 435,264 MWh total consumed)</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DEI programming and metric tracking still nascent; no published diversity data</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Stakeholder materiality survey not refreshed since 2022</w:t>
            </w:r>
          </w:p>
          <w:p>
            <w:pPr>
              <w:spacing w:before="0" w:after="0"/>
              <w:rPr>
                <w:rFonts w:ascii="Century Gothic" w:hAnsi="Century Gothic" w:cs="Century Gothic"/>
                <w:sz w:val="18"/>
                <w:szCs w:val="18"/>
              </w:rPr>
            </w:pPr>
            <w:r>
              <w:rPr>
                <w:rFonts w:ascii="Century Gothic" w:hAnsi="Century Gothic" w:cs="Century Gothic"/>
                <w:b/>
                <w:bCs/>
                <w:i/>
                <w:iCs/>
                <w:color w:val="FFFFFF"/>
                <w:sz w:val="18"/>
                <w:szCs w:val="18"/>
              </w:rPr>
              <w:t xml:space="preserve">• Operational compliance issues at Chicago site (MWRD enforcement actions)</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Limited external ESG communications — Sustainability Overview only in first edition</w:t>
            </w:r>
          </w:p>
        </w:tc>
      </w:tr>
      <w:tr>
        <w:trPr>
          <w:cantSplit/>
        </w:trPr>
        <w:tc>
          <w:tcPr>
            <w:tcW w:w="54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OPPORTUNITIES</w:t>
            </w:r>
          </w:p>
          <w:p>
            <w:pPr>
              <w:spacing w:before="0" w:after="0"/>
              <w:rPr>
                <w:rFonts w:ascii="Century Gothic" w:hAnsi="Century Gothic" w:cs="Century Gothic"/>
                <w:sz w:val="18"/>
                <w:szCs w:val="18"/>
              </w:rPr>
            </w:pPr>
            <w:r>
              <w:rPr>
                <w:rFonts w:ascii="Century Gothic" w:hAnsi="Century Gothic" w:cs="Century Gothic"/>
                <w:sz w:val="18"/>
                <w:szCs w:val="18"/>
              </w:rPr>
              <w:t xml:space="preserve">• Set SBTi-aligned reduction targets to meet customer Scope 3 expectations (L'Oréal, Unilever)</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Scale renewable energy sourcing (solar + PPAs) to rapidly reduce Scope 2</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Leverage EUDR and supply chain traceability demand as competitive advantage</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Advance EcoVadis from Bronze to Silver/Gold to unlock premium customer opportunities</w:t>
            </w:r>
          </w:p>
          <w:p>
            <w:pPr>
              <w:spacing w:before="0" w:after="0"/>
              <w:rPr>
                <w:rFonts w:ascii="Century Gothic" w:hAnsi="Century Gothic" w:cs="Century Gothic"/>
                <w:sz w:val="18"/>
                <w:szCs w:val="18"/>
              </w:rPr>
            </w:pPr>
            <w:r>
              <w:rPr>
                <w:rFonts w:ascii="Century Gothic" w:hAnsi="Century Gothic" w:cs="Century Gothic"/>
                <w:sz w:val="18"/>
                <w:szCs w:val="18"/>
              </w:rPr>
              <w:t xml:space="preserve">• Publish formal ESG/Sustainability Report to strengthen brand differentiation</w:t>
            </w:r>
          </w:p>
          <w:p>
            <w:pPr>
              <w:spacing w:before="0" w:after="0"/>
              <w:rPr>
                <w:rFonts w:ascii="Century Gothic" w:hAnsi="Century Gothic" w:cs="Century Gothic"/>
                <w:sz w:val="18"/>
                <w:szCs w:val="18"/>
              </w:rPr>
            </w:pPr>
            <w:r>
              <w:rPr>
                <w:rFonts w:ascii="Century Gothic" w:hAnsi="Century Gothic" w:cs="Century Gothic"/>
                <w:sz w:val="18"/>
                <w:szCs w:val="18"/>
              </w:rPr>
              <w:t xml:space="preserve">• Grow certified product portfolio (Fair for Life, RSPO, organic) as ESG-linked revenue stream</w:t>
            </w:r>
          </w:p>
        </w:tc>
        <w:tc>
          <w:tcPr>
            <w:tcW w:w="54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THREATS</w:t>
            </w:r>
          </w:p>
          <w:p>
            <w:pPr>
              <w:spacing w:before="0" w:after="0"/>
              <w:rPr>
                <w:rFonts w:ascii="Century Gothic" w:hAnsi="Century Gothic" w:cs="Century Gothic"/>
                <w:sz w:val="18"/>
                <w:szCs w:val="18"/>
              </w:rPr>
            </w:pPr>
            <w:r>
              <w:rPr>
                <w:rFonts w:ascii="Century Gothic" w:hAnsi="Century Gothic" w:cs="Century Gothic"/>
                <w:sz w:val="18"/>
                <w:szCs w:val="18"/>
              </w:rPr>
              <w:t xml:space="preserve">• Customers (L'Oréal, Unilever) imposing Scope 3 supplier emissions requirements</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EU Deforestation Regulation (EUDR) creating significant compliance costs for palm supply chain</w:t>
            </w:r>
          </w:p>
          <w:p>
            <w:pPr>
              <w:spacing w:before="0" w:after="0"/>
              <w:rPr>
                <w:rFonts w:ascii="Century Gothic" w:hAnsi="Century Gothic" w:cs="Century Gothic"/>
                <w:sz w:val="18"/>
                <w:szCs w:val="18"/>
              </w:rPr>
            </w:pPr>
            <w:r>
              <w:rPr>
                <w:rFonts w:ascii="Century Gothic" w:hAnsi="Century Gothic" w:cs="Century Gothic"/>
                <w:sz w:val="18"/>
                <w:szCs w:val="18"/>
              </w:rPr>
              <w:t xml:space="preserve">• Peers (Croda: EcoVadis Platinum, MSCI AAA) continue widening ESG performance gap</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Climate physical risks: drought impacts on jojoba operations; flooding at manufacturing sites</w:t>
            </w:r>
          </w:p>
          <w:p>
            <w:pPr>
              <w:spacing w:before="0" w:after="0"/>
              <w:rPr>
                <w:rFonts w:ascii="Century Gothic" w:hAnsi="Century Gothic" w:cs="Century Gothic"/>
                <w:sz w:val="18"/>
                <w:szCs w:val="18"/>
              </w:rPr>
            </w:pPr>
            <w:r>
              <w:rPr>
                <w:rFonts w:ascii="Century Gothic" w:hAnsi="Century Gothic" w:cs="Century Gothic"/>
                <w:sz w:val="18"/>
                <w:szCs w:val="18"/>
              </w:rPr>
              <w:t xml:space="preserve">• Growing customer ESG questionnaire burden; inability to respond competitively without data</w:t>
            </w:r>
          </w:p>
          <w:p>
            <w:pPr>
              <w:spacing w:before="0" w:after="0"/>
              <w:rPr>
                <w:rFonts w:ascii="Century Gothic" w:hAnsi="Century Gothic" w:cs="Century Gothic"/>
                <w:sz w:val="18"/>
                <w:szCs w:val="18"/>
              </w:rPr>
            </w:pPr>
            <w:r>
              <w:rPr>
                <w:rFonts w:ascii="Century Gothic" w:hAnsi="Century Gothic" w:cs="Century Gothic"/>
                <w:i/>
                <w:iCs/>
                <w:sz w:val="18"/>
                <w:szCs w:val="18"/>
              </w:rPr>
              <w:t xml:space="preserve">• Regulatory tightening (air permitting at Chicago; MWRD compliance pressure)</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Updated ESG Topic Summary</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table below shows each of the ten original ESG topics with updated positioning status and the key evidence supporting the change from the 2022 baseline. Status definitions:</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LEADING – Vantage is performing at or above peer/customer benchmarks with documented evidence</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PROGRESSING – Meaningful progress since 2022; documented program in place but not yet at peer standard</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ALIGNED – Vantage is at industry baseline; maintaining pace with peers</w:t>
      </w:r>
    </w:p>
    <w:p>
      <w:pPr>
        <w:numPr>
          <w:ilvl w:val="0"/>
          <w:numId w:val="902"/>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LAGGING – Gap relative to peers and/or customer expectations remains substantial</w:t>
      </w:r>
    </w:p>
    <w:p>
      <w:pPr>
        <w:spacing w:before="0" w:after="6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357"/>
        <w:gridCol w:w="1286"/>
        <w:gridCol w:w="1286"/>
        <w:gridCol w:w="1071"/>
        <w:gridCol w:w="4800"/>
      </w:tblGrid>
      <w:tr>
        <w:trPr>
          <w:cantSplit/>
          <w:tblHeader/>
        </w:trPr>
        <w:tc>
          <w:tcPr>
            <w:tcW w:w="235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ESG Topic</w:t>
            </w:r>
          </w:p>
        </w:tc>
        <w:tc>
          <w:tcPr>
            <w:tcW w:w="12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2022 Status vs. Peers</w:t>
            </w:r>
          </w:p>
        </w:tc>
        <w:tc>
          <w:tcPr>
            <w:tcW w:w="12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2026 Status vs. Peers</w:t>
            </w:r>
          </w:p>
        </w:tc>
        <w:tc>
          <w:tcPr>
            <w:tcW w:w="107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Change</w:t>
            </w:r>
          </w:p>
        </w:tc>
        <w:tc>
          <w:tcPr>
            <w:tcW w:w="48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Key Evidence / Updates (2024–2026)</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Climate &amp; GHG Emissions</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23% Scope 1+2 reduction since 2021 (82,258 tCO2e in 2024). Scope 3 quantified at 809,437 tCO2e. TCFD framework adopted. Energy efficiency projects at Leuna, Chicago (−800 MT CO2e/yr), Gurnee. No formal targets set yet.</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Non-GHG Emissions</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Stable</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Compliance maintained. MWRD enforcement action noted at Chicago (pH, glycerin excursions). Air permitting (RTO) actively managed. No quantified non-GHG emissions reporting published.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Sustainable Product Innovation</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&gt;80% bio-based portfolio. Won in-cosmetics Latin America Gold Award (Tucum-HA EF), Alle Awards (METAUPON EZ AMIBIO, Hand Savior, Hydra-Repairing Serum Stick). ESG product database not yet established; no formal R&amp;D ESG targets published.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Sustainable Sourcing &amp; Traceability</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RSPO and Transparency One membership active. ASD disclosure participation. ESG Supplier Questionnaire launched 2024. REACH compliance assessment procedure developed. EUDR compliance underway. Traceability program 'From Farm to Formulation™' in place for jojoba. Broader commodity traceability targets not yet set.</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Employee Wellbeing, Health &amp; Safety</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LEADING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Strong</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TRIR 0.7 (2024) and 0.8 (2025) vs. chemical industry avg. 1.8 and all-industry avg. 2.7. EHS Baseline Assessments completed at all major sites in 2025. PSM audit completed at Gurnee. Near-miss reporting significantly improved via Intelex rollout. Fair for Life audit passed.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Diversity, Equity &amp; Inclusion</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Stable</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 formal DEI dashboard, targets, or published diversity metrics identified in 2024–2025 data. Career Management &amp; Training Policy formalized. Employee Handbook updated (2025). DEI programming development remains pending.</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Human Rights &amp; Labor</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Human Rights Policy completed. Living Wage Assessment conducted. Social Dialogue &amp; Freedom of Association policy formalized. Supplier Code of Conduct active. EthicsPoint hotline in place. Supplier auditing program not yet fully documented.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ESG Certifications &amp; Frameworks</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EcoVadis Bronze (83rd percentile); Silver target in near term, Gold in 12–18 months. TCFD Index published in Sustainability Overview. CDP participation active. RSPO, Fair for Life, Organic, Halal, Kosher certifications maintained. No MSCI or Sustainalytics rating reported.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Toxicity &amp; Materials of Concern</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Stable</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REACH compliance assessment procedure (REG-REACH-001) developed; ESG supplier questionnaire includes three REACH attestation questions. No formal materials hazard program or public hazardous materials inventory published.</w:t>
            </w:r>
          </w:p>
        </w:tc>
      </w:tr>
      <w:tr>
        <w:trPr>
          <w:cantSplit/>
        </w:trPr>
        <w:tc>
          <w:tcPr>
            <w:tcW w:w="2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Governance</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12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10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 Improved</w:t>
            </w:r>
          </w:p>
        </w:tc>
        <w:tc>
          <w:tcPr>
            <w:tcW w:w="4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ESG Steering Committee established with cross-functional executive membership. Governance policies published at vantagegrp.com/governance. Code of Conduct updated May 2024. Anti-corruption risk assessment completed. TCFD disclosure published. GRI/SASB reporting not yet adopted.</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Updated ESG Topic Priority Map</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two-tier priority structure from 2022 is maintained with updated classifications. 'Water' has been elevated from a Core/Enabler category to a formal Monitored Topic given the availability of robust quantitative data and its increasing materiality under climate physical risk scenarios.</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4.1  Strategic Priorities (Critical Areas for Business Growth and Competitiveness)</w:t>
      </w:r>
    </w:p>
    <w:p>
      <w:pPr>
        <w:spacing w:before="0" w:after="120"/>
        <w:rPr>
          <w:rFonts w:ascii="Century Gothic" w:hAnsi="Century Gothic" w:cs="Century Gothic"/>
          <w:sz w:val="20"/>
          <w:szCs w:val="20"/>
        </w:rPr>
      </w:pPr>
      <w:r>
        <w:rPr>
          <w:rFonts w:ascii="Century Gothic" w:hAnsi="Century Gothic" w:cs="Century Gothic"/>
          <w:sz w:val="20"/>
          <w:szCs w:val="20"/>
        </w:rPr>
        <w:t xml:space="preserve">These topics have detailed program roadmaps, active KPI tracking, and are directly linked to customer expectations and competitive differentiation.</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571"/>
        <w:gridCol w:w="2143"/>
        <w:gridCol w:w="6086"/>
      </w:tblGrid>
      <w:tr>
        <w:trPr>
          <w:cantSplit/>
          <w:tblHeader/>
        </w:trPr>
        <w:tc>
          <w:tcPr>
            <w:tcW w:w="257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Strategic Priority Topic</w:t>
            </w:r>
          </w:p>
        </w:tc>
        <w:tc>
          <w:tcPr>
            <w:tcW w:w="214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Current Status</w:t>
            </w:r>
          </w:p>
        </w:tc>
        <w:tc>
          <w:tcPr>
            <w:tcW w:w="60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2026 Roadmap Focus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Climate &amp; GHG Emissions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Set formal GHG reduction targets (SBTi-aligned). Scale renewable energy sourcing. Complete Inventory Improvement Plan. Develop GHG-per-product metrics for customer responses.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Sustainable Product Innovation</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Establish formal R&amp;D ESG targets (% natural/bio-based new product launches). Build ESG product attribute database. Quantify sustainability benefits of product portfolio.</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Sustainable Sourcing &amp; Traceability</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Expand supplier ESG questionnaire coverage. Achieve EUDR compliance for palm. Set palm, soy, and key commodity traceability targets. Increase EcoVadis-assessed supplier percentage.</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Employee Wellbeing, Health &amp; Safety</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LEADING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 industry-leading TRIR. Remediate Chicago compliance issues. Complete mechanical integrity improvements from PSM audit. Roll out wellbeing/wellness programs.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Diversity, Equity &amp; Inclusion</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LAGGING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Establish baseline DEI metrics (gender, ethnicity by level). Set representation targets. Develop formal DEI program with HR. Publish first DEI KPIs in external communications.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ESG Certifications &amp; Frameworks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Advance EcoVadis from Bronze to Silver (near-term) and Gold (12–18 months). Evaluate GRI/SASB adoption for annual ESG reporting. Pursue CDP score improvement.</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4.2  Monitored Topics (License to Operate and Emerging Priorities)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These topics require ongoing attention, baseline performance tracking, and selective communications, but do not currently warrant full strategic roadmaps.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2571"/>
        <w:gridCol w:w="2143"/>
        <w:gridCol w:w="6086"/>
      </w:tblGrid>
      <w:tr>
        <w:trPr>
          <w:cantSplit/>
          <w:tblHeader/>
        </w:trPr>
        <w:tc>
          <w:tcPr>
            <w:tcW w:w="257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Monitored Topic</w:t>
            </w:r>
          </w:p>
        </w:tc>
        <w:tc>
          <w:tcPr>
            <w:tcW w:w="214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Current Status</w:t>
            </w:r>
          </w:p>
        </w:tc>
        <w:tc>
          <w:tcPr>
            <w:tcW w:w="60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Monitoring Focus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Non-GHG Emissions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Monitor regulatory compliance across all sites. Resolve Chicago air permitting (RTO). Quantify and begin reporting VOC, NOx, SOx data.</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Human Rights &amp; Labor</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Formalize supplier audit program. Update Supplier Code of Conduct engagement. Track living wage compliance annually. Align with ILO standards.</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Toxicity &amp; Materials of Concern</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ALIGNED</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Maintain REACH compliance. Operationalize REG-REACH-001 procedure. Track materials of high concern (SVHC). Develop customer-facing materials transparency tools over time.</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Governance</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Publish first formal ESG/Sustainability Report. Adopt GRI or SASB framework. Continue Board-level ESG oversight cadence. Maintain Ethics reporting infrastructure.</w:t>
            </w:r>
          </w:p>
        </w:tc>
      </w:tr>
      <w:tr>
        <w:trPr>
          <w:cantSplit/>
        </w:trPr>
        <w:tc>
          <w:tcPr>
            <w:tcW w:w="25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Water (NEW — elevated from Core/Enabler)</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PROGRESSING</w:t>
            </w:r>
          </w:p>
        </w:tc>
        <w:tc>
          <w:tcPr>
            <w:tcW w:w="60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 20% water withdrawal reduction trajectory. Expand drip irrigation at Dateland. Report site-level water data through CDP. Assess water stress risk at all manufacturing locations.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Updated Sustainability Vision and Framework</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2022 workshop defined a draft vision of 'A trusted supplier of...' organized around three pillars. By 2026, Vantage has operationalized this vision with a published framework and public-facing positioning.</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VANTAGE SUSTAINABILITY VISION</w:t>
            </w:r>
          </w:p>
        </w:tc>
      </w:tr>
    </w:tbl>
    <w:p>
      <w:pPr>
        <w:spacing w:before="0" w:after="8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"Partnering for Performance, Powered by Purpose"</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600"/>
        <w:gridCol w:w="3600"/>
        <w:gridCol w:w="3600"/>
      </w:tblGrid>
      <w:tr>
        <w:trPr>
          <w:cantSplit/>
          <w:tblHeader/>
        </w:trPr>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RESILIENT SUPPLY</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RESPONSIBLE OPERATIONS</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  RELIABLE PARTNER</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Responsible Sourcing &amp; Traceability</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Sustainable Chemistry Solutions</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Circular / Bio-based Feedstocks</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2026 Highlights:</w:t>
            </w:r>
          </w:p>
          <w:p>
            <w:pPr>
              <w:spacing w:before="0" w:after="0"/>
              <w:rPr>
                <w:rFonts w:ascii="Century Gothic" w:hAnsi="Century Gothic" w:cs="Century Gothic"/>
                <w:sz w:val="18"/>
                <w:szCs w:val="18"/>
              </w:rPr>
            </w:pPr>
            <w:r>
              <w:rPr>
                <w:rFonts w:ascii="Century Gothic" w:hAnsi="Century Gothic" w:cs="Century Gothic"/>
                <w:sz w:val="18"/>
                <w:szCs w:val="18"/>
              </w:rPr>
              <w:t xml:space="preserve">&gt;80% bio-based portfolio; RSPO &amp; Transparency One member; EUDR compliance in progress; ESG Supplier Questionnaire launched</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Climate &amp; GHG Emissions</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Water Stewardship</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Non-GHG Emissions / Product Safety</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Safety &amp; Wellbeing of Our People</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2026 Highlights:</w:t>
            </w:r>
          </w:p>
          <w:p>
            <w:pPr>
              <w:spacing w:before="0" w:after="0"/>
              <w:rPr>
                <w:rFonts w:ascii="Century Gothic" w:hAnsi="Century Gothic" w:cs="Century Gothic"/>
                <w:sz w:val="18"/>
                <w:szCs w:val="18"/>
              </w:rPr>
            </w:pPr>
            <w:r>
              <w:rPr>
                <w:rFonts w:ascii="Century Gothic" w:hAnsi="Century Gothic" w:cs="Century Gothic"/>
                <w:sz w:val="18"/>
                <w:szCs w:val="18"/>
              </w:rPr>
              <w:t xml:space="preserve">23% GHG reduction, 20% water reduction since 2021; TRIR 0.7 (industry-leading); TCFD index published; site EHS baseline assessments completed</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Diversity, Equity &amp; Inclusion</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Human Rights &amp; Labor</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Governance &amp; Ethics</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ESG Certifications &amp; Transparent Reporting</w:t>
            </w:r>
          </w:p>
          <w:p>
            <w:pPr>
              <w:spacing w:before="0" w:after="0"/>
              <w:rPr>
                <w:rFonts w:ascii="Century Gothic" w:hAnsi="Century Gothic" w:cs="Century Gothic"/>
                <w:sz w:val="18"/>
                <w:szCs w:val="18"/>
              </w:rPr>
            </w:pPr>
            <w:r>
              <w:rPr>
                <w:rFonts w:ascii="Century Gothic" w:hAnsi="Century Gothic" w:cs="Century Gothic"/>
                <w:b/>
                <w:bCs/>
                <w:sz w:val="18"/>
                <w:szCs w:val="18"/>
              </w:rPr>
              <w:t xml:space="preserve">2026 Highlights:</w:t>
            </w:r>
          </w:p>
          <w:p>
            <w:pPr>
              <w:spacing w:before="0" w:after="0"/>
              <w:rPr>
                <w:rFonts w:ascii="Century Gothic" w:hAnsi="Century Gothic" w:cs="Century Gothic"/>
                <w:sz w:val="18"/>
                <w:szCs w:val="18"/>
              </w:rPr>
            </w:pPr>
            <w:r>
              <w:rPr>
                <w:rFonts w:ascii="Century Gothic" w:hAnsi="Century Gothic" w:cs="Century Gothic"/>
                <w:sz w:val="18"/>
                <w:szCs w:val="18"/>
              </w:rPr>
              <w:t xml:space="preserve">Human Rights Policy, Living Wage &amp; FoA policies; Anti-Corruption Risk Assessment; Code of Conduct updated; EcoVadis Bronze (targeting Gold); TCFD-aligned reporting</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Data Gaps and Information Needed to Strengthen the Assessment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table identifies key data gaps that, if addressed, would materially improve the completeness and credibility of the materiality assessment and Vantage's EcoVadis and broader ESG positioning. Priorities are rated High / Medium / Low based on urgency and impact.</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964"/>
        <w:gridCol w:w="2786"/>
        <w:gridCol w:w="4371"/>
        <w:gridCol w:w="964"/>
        <w:gridCol w:w="1715"/>
      </w:tblGrid>
      <w:tr>
        <w:trPr>
          <w:cantSplit/>
          <w:tblHeader/>
        </w:trPr>
        <w:tc>
          <w:tcPr>
            <w:tcW w:w="96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Priority</w:t>
            </w:r>
          </w:p>
        </w:tc>
        <w:tc>
          <w:tcPr>
            <w:tcW w:w="27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Data / Information Gap</w:t>
            </w:r>
          </w:p>
        </w:tc>
        <w:tc>
          <w:tcPr>
            <w:tcW w:w="437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Why It Matters</w:t>
            </w:r>
          </w:p>
        </w:tc>
        <w:tc>
          <w:tcPr>
            <w:tcW w:w="96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Priority</w:t>
            </w:r>
          </w:p>
        </w:tc>
        <w:tc>
          <w:tcPr>
            <w:tcW w:w="171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Owner (Suggested)</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Updated internal + external stakeholder materiality survey</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Original survey is from 2022; customer and peer ESG expectations have evolved substantially. Required for credible double-materiality claims under CSRD and EcoVadis.</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 / Anthesis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Formal GHG reduction targets (SBTi or equivalent)</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Top-tier customers (L'Oréal, Unilever) require supplier emissions targets. Required for EcoVadis Gold; critical for CDP score improvement.</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Operations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DEI baseline metrics (gender, ethnicity, leadership representation)</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Remains the most significant lagging area vs. peers and customers. Absence of data makes progress measurement and external reporting impossible.</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Wendy Gallego / HR</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Workforce demographics: headcount, turnover, new hires by region, age, tenure</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Required for EcoVadis Labor &amp; HR scoring. Supports DEI program baseline. Needed for GRI 401/405 disclosure.</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Wendy Gallego / HRIS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Training hours per employee by category (EHS, ethics, sustainability, professional development)</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Required for EcoVadis Labor score. Key metric for Career Development policy credibility.</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Wendy Gallego / HRIS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Renewable energy sourcing plan and consumption data by site</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Renewable energy is 478 MWh vs. 435,264 MWh total — &lt;0.1%. Significant gap vs. peers (Croda RE100 member). Required for EcoVadis Environmental score.</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Procurement</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Supplier ESG assessment coverage rate (% of spend, % of strategic suppliers assessed)</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EcoVadis Sustainable Procurement score requires &gt;50% of spend covered. Current coverage not fully documented.</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David Ruck / Procurement</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Waste generation and diversion data (by site, by type)</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Not included in current KPI reporting suite. Required for complete environmental baseline and EcoVadis Environmental evidence.</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EHS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Non-GHG emissions data (NOx, SOx, VOC, PM by site)</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Clariant and peers report on these metrics. Regulatory actions at Chicago make this a material disclosure gap.</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EHS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R&amp;D ESG targets (% of product launches that are bio-based or certified)</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Required to back up Sustainable Product Innovation strategic priority with measurable progress. Ashland has a 100% natural/nature-derived target by 2025.</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R&amp;D / CTO</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Community investment / social impact data (spend, volunteer hours, partnerships)</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Relevant to EcoVadis Community Involvement sub-criterion. Enables differentiated stakeholder communications.</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Corporate Affairs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LOW</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MSCI or Sustainalytics ESG rating</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Peers (Croda MSCI AAA, Clariant MSCI AA) use these ratings for investor and customer benchmarking.</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LOW</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 / Corp Affairs</w:t>
            </w:r>
          </w:p>
        </w:tc>
      </w:tr>
      <w:tr>
        <w:trPr>
          <w:cantSplit/>
        </w:trPr>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LOW</w:t>
            </w:r>
          </w:p>
        </w:tc>
        <w:tc>
          <w:tcPr>
            <w:tcW w:w="27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GRI or SASB standards index for annual ESG report</w:t>
            </w:r>
          </w:p>
        </w:tc>
        <w:tc>
          <w:tcPr>
            <w:tcW w:w="437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Customers and investors increasingly expect structured ESG reporting. Required to advance to EcoVadis Gold tier over time.</w:t>
            </w:r>
          </w:p>
        </w:tc>
        <w:tc>
          <w:tcPr>
            <w:tcW w:w="964"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LOW</w:t>
            </w:r>
          </w:p>
        </w:tc>
        <w:tc>
          <w:tcPr>
            <w:tcW w:w="1715"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 / Corp Affairs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Key ESG Performance Data (FY2024–2025)</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section consolidates quantitative ESG data available as of early 2026. Data in italics are targets or noted gaps pending confirmation.</w:t>
      </w: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7.1  Environmental Performance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750"/>
        <w:gridCol w:w="2679"/>
        <w:gridCol w:w="2679"/>
        <w:gridCol w:w="1692"/>
      </w:tblGrid>
      <w:tr>
        <w:trPr>
          <w:cantSplit/>
          <w:tblHeader/>
        </w:trPr>
        <w:tc>
          <w:tcPr>
            <w:tcW w:w="37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67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2021 Baseline</w:t>
            </w:r>
          </w:p>
        </w:tc>
        <w:tc>
          <w:tcPr>
            <w:tcW w:w="267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2024 Performance</w:t>
            </w:r>
          </w:p>
        </w:tc>
        <w:tc>
          <w:tcPr>
            <w:tcW w:w="169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Change</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1 GHG Emissions (MT CO2e)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~91,000 (est.)</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59,695</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~34% ↓</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2 GHG Emissions (MT CO2e)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~16,000 (est.)</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22,563</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n/a</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1+2 Combined (MT CO2e)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107,249</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82,258</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23% ↓</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3 GHG Emissions (MT CO2e)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809,437</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Newly tracked</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Scope 1+2 Intensity (MT CO2e/MT Production)</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0.226</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Energy Consumed (MWh)</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435,264</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Renewable Energy Sourced (MWh)</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478</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&lt;0.1%</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Water Withdrawal (ML)</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16,522</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13,152</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20% ↓</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7.2  Safety Performance</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750"/>
        <w:gridCol w:w="2679"/>
        <w:gridCol w:w="2679"/>
        <w:gridCol w:w="1692"/>
      </w:tblGrid>
      <w:tr>
        <w:trPr>
          <w:cantSplit/>
          <w:tblHeader/>
        </w:trPr>
        <w:tc>
          <w:tcPr>
            <w:tcW w:w="375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Metric</w:t>
            </w:r>
          </w:p>
        </w:tc>
        <w:tc>
          <w:tcPr>
            <w:tcW w:w="267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2021</w:t>
            </w:r>
          </w:p>
        </w:tc>
        <w:tc>
          <w:tcPr>
            <w:tcW w:w="267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2025</w:t>
            </w:r>
          </w:p>
        </w:tc>
        <w:tc>
          <w:tcPr>
            <w:tcW w:w="169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Benchmark</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Recordable Incident Rate (TRIR)</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1.8</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0.8</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Industry: 1.8</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Total Near Misses (2025)</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32</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r>
      <w:tr>
        <w:trPr>
          <w:cantSplit/>
        </w:trPr>
        <w:tc>
          <w:tcPr>
            <w:tcW w:w="375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Significant Process Safety Events (2025)</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c>
          <w:tcPr>
            <w:tcW w:w="2679"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w:t>
            </w:r>
          </w:p>
        </w:tc>
        <w:tc>
          <w:tcPr>
            <w:tcW w:w="1692"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7.3  Governance and Ethics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5357"/>
        <w:gridCol w:w="5443"/>
      </w:tblGrid>
      <w:tr>
        <w:trPr>
          <w:cantSplit/>
          <w:tblHeader/>
        </w:trPr>
        <w:tc>
          <w:tcPr>
            <w:tcW w:w="535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Governance Element</w:t>
            </w:r>
          </w:p>
        </w:tc>
        <w:tc>
          <w:tcPr>
            <w:tcW w:w="544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Status as of April 2026</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ESG Steering Committee</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Active; monthly cadence; reports to CEO; cross-functional executive membership</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Anti-Corruption Program</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Risk assessment complete (19 risks, 19 controls); policy effective April 2023; Finance questionnaire in progress</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Code of Conduct (updated May 2024)</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Published; covers EHS, financial integrity, digital security, human rights</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EthicsPoint Hotline</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Active 24/7; confidential; available to employees and external stakeholders</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TCFD Disclosure</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Published in Sustainability Overview (First Edition, March 2026)</w:t>
            </w:r>
          </w:p>
        </w:tc>
      </w:tr>
      <w:tr>
        <w:trPr>
          <w:cantSplit/>
        </w:trPr>
        <w:tc>
          <w:tcPr>
            <w:tcW w:w="535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EcoVadis Score</w:t>
            </w:r>
          </w:p>
        </w:tc>
        <w:tc>
          <w:tcPr>
            <w:tcW w:w="54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Bronze (83rd percentile); Silver targeted near-term; Gold targeted 12–18 months</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8. Recommended Next Steps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near-term actions are recommended to close the most material gaps identified in this assessment:</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643"/>
        <w:gridCol w:w="4821"/>
        <w:gridCol w:w="2143"/>
        <w:gridCol w:w="1607"/>
        <w:gridCol w:w="1586"/>
      </w:tblGrid>
      <w:tr>
        <w:trPr>
          <w:cantSplit/>
          <w:tblHeader/>
        </w:trPr>
        <w:tc>
          <w:tcPr>
            <w:tcW w:w="64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t>
            </w:r>
          </w:p>
        </w:tc>
        <w:tc>
          <w:tcPr>
            <w:tcW w:w="482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Action</w:t>
            </w:r>
          </w:p>
        </w:tc>
        <w:tc>
          <w:tcPr>
            <w:tcW w:w="2143"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Owner</w:t>
            </w:r>
          </w:p>
        </w:tc>
        <w:tc>
          <w:tcPr>
            <w:tcW w:w="1607"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Timing</w:t>
            </w:r>
          </w:p>
        </w:tc>
        <w:tc>
          <w:tcPr>
            <w:tcW w:w="1586"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Priority</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1</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Refresh materiality stakeholder survey (internal + external) using double-materiality methodology; engage 15+ internal and 10+ external stakeholders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 + Anthesis</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Q3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2</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Set formal GHG reduction targets; evaluate SBTi pathway; publish targets in updated ESG communications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Dan DiZio</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Q4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3</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Establish DEI baseline dashboard with Wendy Gallego; collect gender and diversity data by level; set representation targets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Wendy Gallego + HR</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Q3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4</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Pull HRIS training hours and workforce KPIs to complete EcoVadis Labor &amp; HR submission; fill open placeholders in L&amp;HR Annual Results Statement</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Wendy Gallego / HRIS</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Q2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5</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Advance EcoVadis from Bronze to Silver: complete Finance anti-corruption questionnaire; upload all completed documentation with evidence tags per cross-reference guide</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Q2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HIGH</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6</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Develop renewable energy sourcing plan; evaluate PPA options and solar expansion at manufacturing sites</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 / Procurement</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Q3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7</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Compile waste data across all sites for first annual ESG report; include hazardous and non-hazardous waste generation and disposal method</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Ryan Robotham</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Q3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r>
      <w:tr>
        <w:trPr>
          <w:cantSplit/>
        </w:trPr>
        <w:tc>
          <w:tcPr>
            <w:tcW w:w="6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8</w:t>
            </w:r>
          </w:p>
        </w:tc>
        <w:tc>
          <w:tcPr>
            <w:tcW w:w="4821"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Publish first formal Annual ESG Report using GRI or SASB standards framework; leverage Sustainability Overview as foundation</w:t>
            </w:r>
          </w:p>
        </w:tc>
        <w:tc>
          <w:tcPr>
            <w:tcW w:w="2143"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Dan DiZio + Corp Affairs</w:t>
            </w:r>
          </w:p>
        </w:tc>
        <w:tc>
          <w:tcPr>
            <w:tcW w:w="1607"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Q4 2026</w:t>
            </w:r>
          </w:p>
        </w:tc>
        <w:tc>
          <w:tcPr>
            <w:tcW w:w="1586"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MED</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updated materiality assessment should serve as the foundation for Vantage's second formal ESG strategy refresh, incorporating updated stakeholder input, the progress made since 2022, and the expanded regulatory and customer landscape. The assessment should be fully updated on a 2–3 year cycle, with annual KPI updates to the data sections.</w:t>
      </w: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Vantage Specialty Chemicals | Global Sustainability | April 2026</w:t>
      </w: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Updated ESG Materiality Assessment</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 w:numId="901">
    <w:abstractNumId w:val="900"/>
  </w:num>
  <w:num w:numId="902">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