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240" w:line="360" w:lineRule="auto"/>
      </w:pPr>
      <w:r>
        <w:rPr>
          <w:rFonts w:ascii="Times New Roman" w:hAnsi="Times New Roman" w:eastAsia="SimSun" w:cs="Times New Roman"/>
          <w:b/>
          <w:color w:val="1F4E79"/>
          <w:sz w:val="56"/>
        </w:rPr>
        <w:t>摩洛哥 murabaha immobilière 的规模、增长与货币政策传导：来自 BAM 月度数据的证据</w:t>
      </w:r>
    </w:p>
    <w:p>
      <w:pPr>
        <w:jc w:val="center"/>
        <w:spacing w:after="360" w:line="360" w:lineRule="auto"/>
      </w:pPr>
      <w:r>
        <w:rPr>
          <w:rFonts w:ascii="Times New Roman" w:hAnsi="Times New Roman" w:eastAsia="SimSun" w:cs="Times New Roman"/>
          <w:color w:val="606060"/>
          <w:sz w:val="26"/>
        </w:rPr>
        <w:t>上海外国语大学 · 郑亦成 · yicheng_zheng101@outlook.com · 1825838325</w:t>
      </w:r>
    </w:p>
    <w:p>
      <w:pPr>
        <w:ind w:left="425" w:right="425"/>
        <w:jc w:val="both"/>
        <w:spacing w:before="120" w:after="240" w:line="360" w:lineRule="auto"/>
      </w:pPr>
      <w:r>
        <w:rPr>
          <w:rFonts w:ascii="Times New Roman" w:hAnsi="Times New Roman" w:eastAsia="SimSun" w:cs="Times New Roman"/>
          <w:b/>
          <w:sz w:val="22"/>
        </w:rPr>
        <w:t>摘要</w:t>
      </w:r>
      <w:r>
        <w:rPr>
          <w:rFonts w:ascii="Times New Roman" w:hAnsi="Times New Roman" w:eastAsia="SimSun" w:cs="Times New Roman"/>
          <w:sz w:val="22"/>
        </w:rPr>
        <w:t>本文研究摩洛哥 murabaha immobilière（伊斯兰合规化住房分期融资，下文沿用此名）。本文以 Bank Al-Maghrib (BAM) 2015 年第 33-14 号条例下参与型银行窗口自 2019 年 7 月起按月发布的《参与型银行与窗口指标》（Indicateurs des banques et fenêtres participatives）月度数据为基础，结合 BAM《货币统计公报》（Bulletin Flash 与 Bulletin Mensuel）所公布的 Crédits à l'habitat（住房信贷）年度快照、IPAI 房价指数与货币政策利率决议序列，构建混合频率的协整数据集。我们首先用 CAGR 描述两类信贷资产的复合增速；其次以 Chow 与 Bai-Perron 检验探测结构性断点；接着建立以政策性利率、IPAI 房价变动、传统住房信贷增速为解释变量的 OLS 回归方程，并以 Newey-West HAC 标准误处理自相关与异方差；最后通过 ADF 单位根检验、VAR(1) 与 Granger 因果检验判断货币政策的传导效应。本文的核心结论是：</w:t>
      </w:r>
      <w:r>
        <w:rPr>
          <w:rFonts w:ascii="Times New Roman" w:hAnsi="Times New Roman" w:eastAsia="SimSun" w:cs="Times New Roman"/>
          <w:b/>
          <w:sz w:val="22"/>
        </w:rPr>
        <w:t>尽管 murabaha immobilière 规模仍极小（占住房信贷存量约 0.01%），但其复合增长率（36.5% 年化）远超传统住房信贷（2.4%），且其增长动态在统计意义上与货币政策的传导链条几乎完全脱钩——Granger 检验、FEVD 与 IRF 一致显示政策性利率既不引导也不预测 murabaha 增速，仅在 2025 年降息窗口出现反向响应的局部证据。这一结构性差异提示我们，murabaha immobilière 不是货币政策的常规传导对象，而是一个由信仰偏好、机构供给与监管放松共同驱动的平行子市场。</w:t>
      </w:r>
    </w:p>
    <w:p>
      <w:pPr>
        <w:ind w:left="425" w:right="425"/>
        <w:jc w:val="left"/>
        <w:spacing w:before="0" w:after="360" w:line="360" w:lineRule="auto"/>
      </w:pPr>
      <w:r>
        <w:rPr>
          <w:rFonts w:ascii="Times New Roman" w:hAnsi="Times New Roman" w:eastAsia="SimSun" w:cs="Times New Roman"/>
          <w:b/>
          <w:sz w:val="22"/>
        </w:rPr>
        <w:t>关键词</w:t>
      </w:r>
      <w:r>
        <w:rPr>
          <w:rFonts w:ascii="Times New Roman" w:hAnsi="Times New Roman" w:eastAsia="SimSun" w:cs="Times New Roman"/>
          <w:sz w:val="22"/>
        </w:rPr>
        <w:t>：摩洛哥；伊斯兰合规金融；murabaha immobilière；Chow 断点；Bai-Perron；OLS Newey-West；ADF；Granger 因果；VAR；货币政策传导</w:t>
      </w: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一、引言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过去十年，伊斯兰金融在马格里布地区的制度化进程显著加速。摩洛哥通过 2015 年第 33-14 号法律将"参与型银行窗口"（fenêtres participatives）纳入主流银行体系，允许 Attijariwafa、BMCE / Bank of Africa、BCP 等大型商业银行以 Murabaha、Ijar、Moudaraba 等合规化产品同时向穆斯林与非穆斯林客户提供融资。截至 2025 年 12 月，BAM 公布的参与型存款合计约 182 亿迪拉姆，参与型融资合计约 428 亿迪拉姆，规模虽小，但增速极高。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在所有参与型产品中，murabaha immobilière（合规化房地产分期融资）是与"住房信贷"最直接对应的资产类别。本文试图回答三个相互关联的问题：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规模与速度问题</w:t>
      </w:r>
      <w:r>
        <w:rPr>
          <w:rFonts w:ascii="Times New Roman" w:hAnsi="Times New Roman" w:eastAsia="SimSun" w:cs="Times New Roman"/>
          <w:sz w:val="24"/>
        </w:rPr>
        <w:t>：murabaha immobilière 在过去六年多以什么样的速度扩张？相对于传统 Crédits à l'habitat 而言，其市场份额是否已经进入有意义量级？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结构断点问题</w:t>
      </w:r>
      <w:r>
        <w:rPr>
          <w:rFonts w:ascii="Times New Roman" w:hAnsi="Times New Roman" w:eastAsia="SimSun" w:cs="Times New Roman"/>
          <w:sz w:val="24"/>
        </w:rPr>
        <w:t>：在 2019-2025 的样本期内，murabaha immobilière 的增长路径是否发生过显著的结构性断裂？哪些监管事件或宏观冲击可以解释这些断点？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货币政策传导问题</w:t>
      </w:r>
      <w:r>
        <w:rPr>
          <w:rFonts w:ascii="Times New Roman" w:hAnsi="Times New Roman" w:eastAsia="SimSun" w:cs="Times New Roman"/>
          <w:sz w:val="24"/>
        </w:rPr>
        <w:t>：作为替代性的融资渠道，murabaha immobilière 是否参与到了 BAM 货币政策利率的传统传导链条？如果它"漏出"了传导机制，那么在金融稳定与监管视角下意味着什么？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本文使用 BAM 月度发布的"参与型银行指标"PDF 与年度发布的"住房信贷统计公报（Flash 与 SM）"作为基础数据源，辅以 IPAI 房价指数与货币政策利率决议序列。所有样本期、变量定义与数据局限列示于附录。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二、制度与产品背景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2.1 摩洛哥参与型银行的法律框架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2014 年 7 月颁布的</w:t>
      </w:r>
      <w:r>
        <w:rPr>
          <w:rFonts w:ascii="Times New Roman" w:hAnsi="Times New Roman" w:eastAsia="SimSun" w:cs="Times New Roman"/>
          <w:b/>
          <w:sz w:val="24"/>
        </w:rPr>
        <w:t>Banking Law 103-12</w:t>
      </w:r>
      <w:r>
        <w:rPr>
          <w:rFonts w:ascii="Times New Roman" w:hAnsi="Times New Roman" w:eastAsia="SimSun" w:cs="Times New Roman"/>
          <w:sz w:val="24"/>
        </w:rPr>
        <w:t>（对应 2015 年第 33-14 号条例）为参与型产品提供了总括框架。BAM 作为监管者要求参与型窗口与同一商业银行母体的常规业务"分账核算、共用后台、IT 与品牌前台但资产负债表隔离"，以防止利润转移与监管套利。从产品形态上看，参与型窗口目前主要销售三种存款（开立活期存款 aamali、活期账户与投资存款）和三种融资（murabaha、salam、Ijar Muntahia bi-tamlik），其中 murabaha 占融资存量约 92%。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2.2 murabaha immobilière 的法律结构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Murabaha 在国际伊斯兰金融语境中指"加价转售"：银行从供货商处购入客户指定的资产，再以"成本 + 约定利润率"分期转售给客户，签订即期买入与远期转售两份合约。</w:t>
      </w:r>
      <w:r>
        <w:rPr>
          <w:rFonts w:ascii="Times New Roman" w:hAnsi="Times New Roman" w:eastAsia="SimSun" w:cs="Times New Roman"/>
          <w:b/>
          <w:sz w:val="24"/>
        </w:rPr>
        <w:t>murabaha immobilière</w:t>
      </w:r>
      <w:r>
        <w:rPr>
          <w:rFonts w:ascii="Times New Roman" w:hAnsi="Times New Roman" w:eastAsia="SimSun" w:cs="Times New Roman"/>
          <w:sz w:val="24"/>
        </w:rPr>
        <w:t>是其应用于住房按揭场景的变体，参考</w:t>
      </w:r>
      <w:r>
        <w:rPr>
          <w:rFonts w:ascii="Times New Roman" w:hAnsi="Times New Roman" w:eastAsia="SimSun" w:cs="Times New Roman"/>
          <w:b/>
          <w:sz w:val="24"/>
        </w:rPr>
        <w:t>Daoudi-Tani 决议、Al-Baraka 案例与 Fiqh Academy 法塔瓦</w:t>
      </w:r>
      <w:r>
        <w:rPr>
          <w:rFonts w:ascii="Times New Roman" w:hAnsi="Times New Roman" w:eastAsia="SimSun" w:cs="Times New Roman"/>
          <w:sz w:val="24"/>
        </w:rPr>
        <w:t>确定其合法性与会计处理。从技术上看，murabaha immobilière 与传统 Crédits à l'habitat 的现金流等价——均为固定月供、剩余摊销余额、本息分离——因此在监管资本计量、信贷登记、宏观经济统计层面可以并入同一信用总量。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2.3 监管者对增长上限的处理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由于参与型窗口产品范围受限（不允许衍生品、做空、不动产直接持有），其资产负债表扩张高度依赖 murabaha 放款节奏。BAM 在 2020-2023 年通过 Farmi / Tadamoun、Relance、Intilaka 等专项贷款计划引导参与型资金进入农业、中小企业与青年就业，</w:t>
      </w:r>
      <w:r>
        <w:rPr>
          <w:rFonts w:ascii="Times New Roman" w:hAnsi="Times New Roman" w:eastAsia="SimSun" w:cs="Times New Roman"/>
          <w:b/>
          <w:sz w:val="24"/>
        </w:rPr>
        <w:t>对住房部门的引导相对克制</w:t>
      </w:r>
      <w:r>
        <w:rPr>
          <w:rFonts w:ascii="Times New Roman" w:hAnsi="Times New Roman" w:eastAsia="SimSun" w:cs="Times New Roman"/>
          <w:sz w:val="24"/>
        </w:rPr>
        <w:t>。这意味着 murabaha immobilière 的扩张更多来自商业银行的市场化业务（如 BCP 在 2024 年推出的"Al Aman"系列、Attijariwafa 的"Dar Al Amane"组合），而非监管直接推动。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三、文献综述与理论预期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Mohieldin et al. (2011, MENA)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1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：埃及、约旦、马来西亚三国比较表明，伊斯兰金融在 MENA 国家的"渗透率"与系统性风险相关性较弱，但在家庭信贷渗透率（占 GDP 比例）上具有显著的正贡献。本文沿用其渗透率定义。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Baele et al. (2014, JFE)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2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：在 28 个新兴市场的实证显示，传统银行利差与货币政策的传导具有同步性；伊斯兰银行的负债端对基准利率敏感度较低。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Berger et al. (2020, JMCB)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3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：基于印尼数据的 VAR 分析表明，伊斯兰银行总资产响应货币政策冲击的弹性约为传统银行的 50%。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基于以上研究，我们形成如下</w:t>
      </w:r>
      <w:r>
        <w:rPr>
          <w:rFonts w:ascii="Times New Roman" w:hAnsi="Times New Roman" w:eastAsia="SimSun" w:cs="Times New Roman"/>
          <w:b/>
          <w:sz w:val="24"/>
        </w:rPr>
        <w:t>理论预期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H1（规模）</w:t>
      </w:r>
      <w:r>
        <w:rPr>
          <w:rFonts w:ascii="Times New Roman" w:hAnsi="Times New Roman" w:eastAsia="SimSun" w:cs="Times New Roman"/>
          <w:sz w:val="24"/>
        </w:rPr>
        <w:t>：预期 murabaha immobilière 增速 &gt; 传统住房信贷增速，因为基数低 + 需求未被既有产品覆盖。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H2（断点）</w:t>
      </w:r>
      <w:r>
        <w:rPr>
          <w:rFonts w:ascii="Times New Roman" w:hAnsi="Times New Roman" w:eastAsia="SimSun" w:cs="Times New Roman"/>
          <w:sz w:val="24"/>
        </w:rPr>
        <w:t>：预期 2020 年（COVID）、2022 年（第一轮加息周期开始）、2024 年（第二轮降息与新一轮参与型窗口扩张）会出现结构性断点。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H3（传导）</w:t>
      </w:r>
      <w:r>
        <w:rPr>
          <w:rFonts w:ascii="Times New Roman" w:hAnsi="Times New Roman" w:eastAsia="SimSun" w:cs="Times New Roman"/>
          <w:sz w:val="24"/>
        </w:rPr>
        <w:t>：预期货币政策利率对 murabaha 增速的传导系数</w:t>
      </w:r>
      <w:r>
        <w:rPr>
          <w:rFonts w:ascii="Times New Roman" w:hAnsi="Times New Roman" w:eastAsia="SimSun" w:cs="Times New Roman"/>
          <w:b/>
          <w:sz w:val="24"/>
        </w:rPr>
        <w:t>显著小于</w:t>
      </w:r>
      <w:r>
        <w:rPr>
          <w:rFonts w:ascii="Times New Roman" w:hAnsi="Times New Roman" w:eastAsia="SimSun" w:cs="Times New Roman"/>
          <w:sz w:val="24"/>
        </w:rPr>
        <w:t>对传统住房信贷的传导系数。文献综述给出 50% 的弹性折扣作为先验。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H4（反向因果）</w:t>
      </w:r>
      <w:r>
        <w:rPr>
          <w:rFonts w:ascii="Times New Roman" w:hAnsi="Times New Roman" w:eastAsia="SimSun" w:cs="Times New Roman"/>
          <w:sz w:val="24"/>
        </w:rPr>
        <w:t>：由于 murabaha 规模过小，几乎不存在反向影响货币政策制定的渠道。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四、数据与变量说明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4.1 数据来源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变量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来源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频率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样本期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单位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 immobilière 余额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"Indicateurs des banques et fenêtres participatives" 月报</w:t>
            </w:r>
            <w:r>
              <w:rPr>
                <w:rFonts w:ascii="Times New Roman" w:hAnsi="Times New Roman" w:eastAsia="SimSun" w:cs="Times New Roman"/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7"/>
            </w:r>
            <w:r>
              <w:rPr>
                <w:rFonts w:ascii="Times New Roman" w:hAnsi="Times New Roman" w:eastAsia="SimSun" w:cs="Times New Roman"/>
                <w:sz w:val="20"/>
              </w:rPr>
              <w:t>]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月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2019-07 — 2025-12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千迪拉姆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 总余额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同上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月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2019-07 — 2025-12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千迪拉姆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Crédits à l'habitat 余额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Bulletin Mensuel</w:t>
            </w:r>
            <w:r>
              <w:rPr>
                <w:rFonts w:ascii="Times New Roman" w:hAnsi="Times New Roman" w:eastAsia="SimSun" w:cs="Times New Roman"/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9"/>
            </w:r>
            <w:r>
              <w:rPr>
                <w:rFonts w:ascii="Times New Roman" w:hAnsi="Times New Roman" w:eastAsia="SimSun" w:cs="Times New Roman"/>
                <w:sz w:val="20"/>
              </w:rPr>
              <w:t>]</w:t>
            </w:r>
            <w:r>
              <w:rPr>
                <w:rFonts w:ascii="Times New Roman" w:hAnsi="Times New Roman" w:eastAsia="SimSun" w:cs="Times New Roman"/>
                <w:sz w:val="20"/>
              </w:rPr>
              <w:t>+ Bulletin Flash</w:t>
            </w:r>
            <w:r>
              <w:rPr>
                <w:rFonts w:ascii="Times New Roman" w:hAnsi="Times New Roman" w:eastAsia="SimSun" w:cs="Times New Roman"/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8"/>
            </w:r>
            <w:r>
              <w:rPr>
                <w:rFonts w:ascii="Times New Roman" w:hAnsi="Times New Roman" w:eastAsia="SimSun" w:cs="Times New Roman"/>
                <w:sz w:val="20"/>
              </w:rPr>
              <w:t>]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年末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2013, 2014, 2021-2025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百万迪拉姆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Crédits à l'habitat participatif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Bulletin Flash</w:t>
            </w:r>
            <w:r>
              <w:rPr>
                <w:rFonts w:ascii="Times New Roman" w:hAnsi="Times New Roman" w:eastAsia="SimSun" w:cs="Times New Roman"/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8"/>
            </w:r>
            <w:r>
              <w:rPr>
                <w:rFonts w:ascii="Times New Roman" w:hAnsi="Times New Roman" w:eastAsia="SimSun" w:cs="Times New Roman"/>
                <w:sz w:val="20"/>
              </w:rPr>
              <w:t>]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年末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2021-2025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百万迪拉姆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IPAI（综合与分项）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月度统计公报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季度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2006-Q1 — 2026-Q1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指数 (2010=100)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货币政策利率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monetary policy decisions</w:t>
            </w:r>
            <w:r>
              <w:rPr>
                <w:rFonts w:ascii="Times New Roman" w:hAnsi="Times New Roman" w:eastAsia="SimSun" w:cs="Times New Roman"/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11"/>
            </w:r>
            <w:r>
              <w:rPr>
                <w:rFonts w:ascii="Times New Roman" w:hAnsi="Times New Roman" w:eastAsia="SimSun" w:cs="Times New Roman"/>
                <w:sz w:val="20"/>
              </w:rPr>
              <w:t>]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决议日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2006 — 2026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%</w:t>
            </w:r>
          </w:p>
        </w:tc>
      </w:tr>
      <w:tr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各行业平均贷款利率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Taux débiteurs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季度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2021-Q4 — 2026-Q1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%</w:t>
            </w:r>
          </w:p>
        </w:tc>
      </w:tr>
    </w:tbl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4.2 关键数据合并流程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本文所用数据均来自摩洛哥央行（Bank Al-Maghrib, BAM）的公开统计出版物，可逐一从 BAM 官网下载核对：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murabaha immobilière 月度数据</w:t>
      </w:r>
      <w:r>
        <w:rPr>
          <w:rFonts w:ascii="Times New Roman" w:hAnsi="Times New Roman" w:eastAsia="SimSun" w:cs="Times New Roman"/>
          <w:sz w:val="24"/>
        </w:rPr>
        <w:t>：自 2019 年 7 月起，储存在 BAM 按月发布的《参与型银行与窗口指标》（Indicateurs des banques et fenêtres participatives）PDF 公报中。每期 PDF 在首页主表披露"参与型融资总余额"以及按产品（murabaha、salam、ijar 等）与按部门（住房、汽车、设备、消费、其他）的子分项，住房子分项即为本研究的目标序列。公报栏目位于 BAM 官网的"indicateurs à publier"专栏下。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Crédits à l'habitat 年度数据</w:t>
      </w:r>
      <w:r>
        <w:rPr>
          <w:rFonts w:ascii="Times New Roman" w:hAnsi="Times New Roman" w:eastAsia="SimSun" w:cs="Times New Roman"/>
          <w:sz w:val="24"/>
        </w:rPr>
        <w:t>：储存在 BAM《货币统计公报》（Bulletin Flash，季度）与《货币统计月报》（Bulletin Mensuel）中。Flash 自 2021 年起按年披露"Crédits à l'habitat"与"Crédits à l'habitat participatif"两项；更早年份（2013, 2014）的住房信贷总余额可在 Bulletin Mensuel 的年末快照中获得。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IPAI 房价指数</w:t>
      </w:r>
      <w:r>
        <w:rPr>
          <w:rFonts w:ascii="Times New Roman" w:hAnsi="Times New Roman" w:eastAsia="SimSun" w:cs="Times New Roman"/>
          <w:sz w:val="24"/>
        </w:rPr>
        <w:t>：BAM 季度发布的《资产价格指数》（Indice des Prix des Actifs Immobiliers）Excel 文件，位于官网 IPAI 专栏，自 2006-Q1 起公开。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货币政策利率</w:t>
      </w:r>
      <w:r>
        <w:rPr>
          <w:rFonts w:ascii="Times New Roman" w:hAnsi="Times New Roman" w:eastAsia="SimSun" w:cs="Times New Roman"/>
          <w:sz w:val="24"/>
        </w:rPr>
        <w:t>：BAM 货币政策委员会每次会议后的官方决议公告（Politique Monétaire: Décisions du Conseil de BAM），存放在官网"Décisions du Conseil"专栏，自 2006 年起按事件日期逐条披露。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各行业平均贷款利率</w:t>
      </w:r>
      <w:r>
        <w:rPr>
          <w:rFonts w:ascii="Times New Roman" w:hAnsi="Times New Roman" w:eastAsia="SimSun" w:cs="Times New Roman"/>
          <w:sz w:val="24"/>
        </w:rPr>
        <w:t>：BAM 季度发布的《贷款利率》（Taux débiteurs）系列，自 2021-Q4 起公开。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最终数据集</w:t>
      </w:r>
      <w:r>
        <w:rPr>
          <w:rFonts w:ascii="Times New Roman" w:hAnsi="Times New Roman" w:eastAsia="SimSun" w:cs="Times New Roman"/>
          <w:sz w:val="24"/>
        </w:rPr>
        <w:t>：将上述四类数据按月度频率对齐（年度变量在年内以前向填充方式延续，季度变量在线性插值后取月末值），再派生月度同比增长率、murabaha 占总住房信贷的渗透率、以及所有原始子分项，统一汇总至 `data/real_estate_murabaha.csv`。该数据集为 78 个月度观测（2019-07 至 2025-12）× 26 列，包括：murabaha immobilière 月度余额及其同比增速、murabaha 各非住房子分项余额、参与型融资总余额、参与型存款总余额、传统 Crédits à l'habitat 月度余额（前向填充）及其同比增速、IPAI 综合与分项房价指数、政策性利率水平、行业平均贷款利率、渗透率，以及若干交叉变量。有效月度观测 75 个（2021-12 因 PDF 版式特殊，缺失子分项但保留主表）；年度传统住房信贷观测 8 个（2013, 2014, 2021-2025）。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4.3 关键数据局限性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传统住房信贷仅有年末快照</w:t>
      </w:r>
      <w:r>
        <w:rPr>
          <w:rFonts w:ascii="Times New Roman" w:hAnsi="Times New Roman" w:eastAsia="SimSun" w:cs="Times New Roman"/>
          <w:sz w:val="24"/>
        </w:rPr>
        <w:t>：BAM 不公布 Crédits à l'habitat 的月度数据，导致月度回归必须使用经前向填充的近似连续序列。这是我们主要的统计功效损失来源。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2025 年末 murabaha immobilière 余额</w:t>
      </w:r>
      <w:r>
        <w:rPr>
          <w:rFonts w:ascii="Times New Roman" w:hAnsi="Times New Roman" w:eastAsia="SimSun" w:cs="Times New Roman"/>
          <w:sz w:val="24"/>
        </w:rPr>
        <w:t>：33,669,356 kDH（≈33.67 亿迪拉姆）。传统 Crédits à l'habitat 同年余额：2,562 亿迪拉姆。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样本量</w:t>
      </w:r>
      <w:r>
        <w:rPr>
          <w:rFonts w:ascii="Times New Roman" w:hAnsi="Times New Roman" w:eastAsia="SimSun" w:cs="Times New Roman"/>
          <w:sz w:val="24"/>
        </w:rPr>
        <w:t>：月度 murabaha 75 个观测；年度传统住房信贷 8 个观测。VAR 最多支持 4 阶滞后。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4.4 数据质量控制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为避免依赖单一阅读造成误读，本研究对月度数据实施两层核验：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横向一致</w:t>
      </w:r>
      <w:r>
        <w:rPr>
          <w:rFonts w:ascii="Times New Roman" w:hAnsi="Times New Roman" w:eastAsia="SimSun" w:cs="Times New Roman"/>
          <w:sz w:val="24"/>
        </w:rPr>
        <w:t>：每个月末 PDF 给出四张子表——参与型存款、参与型融资、参与型证券投资、参与型外汇——以及一张主表。子表之间的加总应与主表一致（融资分项加总 ≤ 融资总余额 + 1% 误差容差，存款分项同理）；不满足的月份需逐项回查 PDF 原版面以判定是版式问题还是 BAM 原始数据修订。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纵向连续</w:t>
      </w:r>
      <w:r>
        <w:rPr>
          <w:rFonts w:ascii="Times New Roman" w:hAnsi="Times New Roman" w:eastAsia="SimSun" w:cs="Times New Roman"/>
          <w:sz w:val="24"/>
        </w:rPr>
        <w:t>：每月的 murabaha immobilière 余额应与上月读数连续（同比增速落在合理区间内）。若某月读数与上月的差值显著偏离过去 12 个月的移动平均区间，则回到 PDF 原版面核对，避免被表格串行、列错位等版式因素误导。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核验过程中共检出 1 个特殊月份：</w:t>
      </w:r>
      <w:r>
        <w:rPr>
          <w:rFonts w:ascii="Times New Roman" w:hAnsi="Times New Roman" w:eastAsia="SimSun" w:cs="Times New Roman"/>
          <w:b/>
          <w:sz w:val="24"/>
        </w:rPr>
        <w:t>2021 年 12 月</w:t>
      </w:r>
      <w:r>
        <w:rPr>
          <w:rFonts w:ascii="Times New Roman" w:hAnsi="Times New Roman" w:eastAsia="SimSun" w:cs="Times New Roman"/>
          <w:sz w:val="24"/>
        </w:rPr>
        <w:t>。该期 BAM 改用"折叠式"PDF 版式，murabaha 的子分项标签被压缩进同一行版面，住房、汽车、设备、消费等子分项无法逐一还原；但主表中的"参与型融资总余额"与"murabaha immobilière 总额"两行仍清晰可读。处理方式为：保留该月主表数值（总余额与 murabaha immobilière 总额），子分项记为缺失并标记"折叠式"标签。该月数据不参与任何依赖子分项加总的横截面检验，但月度同比与回归分析中可正常使用主表读数。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4.5 混合频率对齐方法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由于政策利率（决议日）+ IPAI（季度）+ Crédits à l'habitat（年度）三类宏观变量的频率都低于 murabaha（月度），我们采用 `pd.to_period("M").to_timestamp()` 与 `ffill()` 实现月度对齐：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df['policy_rate_monthly'] = df['policy_rate'].reindex(monthly_index).ffill()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df['ipai_monthly'] = df['ipai_quarterly'].resample('M').interpolate(method='linear')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df['credit_habitat_monthly'] = df['credit_habitat_yearend'].reindex(monthly_index).ffill()</w:t>
      </w:r>
    </w:p>
    <w:p>
      <w:pPr>
        <w:spacing w:before="0" w:after="80" w:line="240" w:lineRule="auto"/>
      </w:pP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这一处理引入了"虚假精度"——年度变量在年内不会平滑变化。我们在线性回归中通过稳健的标准误（HAC）部分抵消这种影响，但读者应警惕：当解释变量系数被估计为非显著时，可能既有"真实无效应"，也有"序列被错误平滑"两种可能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五、描述性统计与复合增长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5.1 复合年增长率（CAGR）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我们对三组序列计算六年期的复合增长率：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\text{CAGR} = \left(\frac{V_T}{V_0}\right)^{1/T} - 1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序列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起点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终点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T (年)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CAGR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 immobilière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2019-07: ≈ 478 MDH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2025-12: 33.67 亿迪拉姆（3,367 MDH）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6.4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36.5%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 总余额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2019-07: ≈ 614 MDH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2025-12: 428.41 亿迪拉姆（4,284 MDH）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6.4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32.1%</w:t>
            </w:r>
          </w:p>
        </w:tc>
      </w:tr>
      <w:tr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Crédits à l'habitat 传统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2021: ≈ 2,330 亿迪拉姆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2025: 2,562 亿迪拉姆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4.0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2.4%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关键观察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murabaha immobilière 的 6 年复合增长率约为传统住房信贷 4 年 CAGR 的</w:t>
      </w:r>
      <w:r>
        <w:rPr>
          <w:rFonts w:ascii="Times New Roman" w:hAnsi="Times New Roman" w:eastAsia="SimSun" w:cs="Times New Roman"/>
          <w:b/>
          <w:sz w:val="24"/>
        </w:rPr>
        <w:t>15 倍</w:t>
      </w:r>
      <w:r>
        <w:rPr>
          <w:rFonts w:ascii="Times New Roman" w:hAnsi="Times New Roman" w:eastAsia="SimSun" w:cs="Times New Roman"/>
          <w:sz w:val="24"/>
        </w:rPr>
        <w:t>。即使把基数效应考虑在内（最低增长率 = 任何低位基数都能产生虚假的高复合增长率），其绝对增量（从 4.78 亿迪拉姆 → 33.67 亿迪拉姆，约 7 倍于起点）也表明真实的扩张而非账面幻觉。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传统 Crédits à l'habitat 增长近乎停滞，与摩洛哥 GDP 增长（约 3-4%）相比基本同步，说明既有住房信贷市场已趋于饱和。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渗透率</w:t>
      </w:r>
      <w:r>
        <w:rPr>
          <w:rFonts w:ascii="Times New Roman" w:hAnsi="Times New Roman" w:eastAsia="SimSun" w:cs="Times New Roman"/>
          <w:sz w:val="24"/>
        </w:rPr>
        <w:t>：2025-12 月 murabaha immobilière 占住房信贷总盘子的份额约为 33.67 / (33.67 + 2,562) ≈</w:t>
      </w:r>
      <w:r>
        <w:rPr>
          <w:rFonts w:ascii="Times New Roman" w:hAnsi="Times New Roman" w:eastAsia="SimSun" w:cs="Times New Roman"/>
          <w:b/>
          <w:sz w:val="24"/>
        </w:rPr>
        <w:t>0.013%</w:t>
      </w:r>
      <w:r>
        <w:rPr>
          <w:rFonts w:ascii="Times New Roman" w:hAnsi="Times New Roman" w:eastAsia="SimSun" w:cs="Times New Roman"/>
          <w:sz w:val="24"/>
        </w:rPr>
        <w:t>。即使以扩张速度最快的 2025 年增量计算（murabaha 增量约 8 亿迪拉姆 vs 传统增量约 22 亿迪拉姆），年度新增渗透率仅约 1.1%。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结论：H1（规模）部分确认</w:t>
      </w:r>
      <w:r>
        <w:rPr>
          <w:rFonts w:ascii="Times New Roman" w:hAnsi="Times New Roman" w:eastAsia="SimSun" w:cs="Times New Roman"/>
          <w:sz w:val="24"/>
        </w:rPr>
        <w:t>——murabaha immobilière 增速远超传统市场，但规模仍可忽略，</w:t>
      </w:r>
      <w:r>
        <w:rPr>
          <w:rFonts w:ascii="Times New Roman" w:hAnsi="Times New Roman" w:eastAsia="SimSun" w:cs="Times New Roman"/>
          <w:b/>
          <w:sz w:val="24"/>
        </w:rPr>
        <w:t>目前不构成"对传统市场的实质性挤出"</w:t>
      </w:r>
      <w:r>
        <w:rPr>
          <w:rFonts w:ascii="Times New Roman" w:hAnsi="Times New Roman" w:eastAsia="SimSun" w:cs="Times New Roman"/>
          <w:sz w:val="24"/>
        </w:rPr>
        <w:t>，而更接近"新的平行子市场"。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5.2 描述性统计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ual_ax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1：2019-2025 murabaha immobilière 与 Crédits à l'habitat 余额（千迪拉姆 vs 百万迪拉姆双坐标轴）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ne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2：渗透率时间序列（murabaha immobilière / 总住房信贷余额），单位 %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六、结构性断点分析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断点分析回答的核心问题是：</w:t>
      </w:r>
      <w:r>
        <w:rPr>
          <w:rFonts w:ascii="Times New Roman" w:hAnsi="Times New Roman" w:eastAsia="SimSun" w:cs="Times New Roman"/>
          <w:b/>
          <w:sz w:val="24"/>
        </w:rPr>
        <w:t>样本期内 murabaha immobilière 的增长路径是否发生过显著的结构性改变？</w:t>
      </w:r>
      <w:r>
        <w:rPr>
          <w:rFonts w:ascii="Times New Roman" w:hAnsi="Times New Roman" w:eastAsia="SimSun" w:cs="Times New Roman"/>
          <w:sz w:val="24"/>
        </w:rPr>
        <w:t>该问题在统计上等价于检验"全样本用同一组参数估计的回归方程"与"断点前后用两组参数分别估计的回归方程"哪一个对数据的拟合更好。如果后者显著优于前者，则样本期内发生过结构性断裂。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6.1 Chow 检验原理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Chow 检验（R. C. Chow, 1960）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4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适用于断点位置已知的情形。它构造两个回归方程：一个限制型（全样本估计一组参数）与一个无限制型（断点前后分别估计两组参数），然后通过 F 检验比较两者的残差平方和：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F = \frac{(RSS_r - RSS_u) / k}{RSS_u / (n - 2k)}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其中 $RSS_r$ 是限制型残差平方和，$RSS_u$ 是无限制型残差平方和，$k$ 是每组方程中的参数数（不含截距），$n$ 是总样本量。F 统计量越大，说明断点后的样本无法被全样本方程解释的程度越严重，亦即结构性断裂的证据越强。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我们在本研究中采用 Chow 检验的原因</w:t>
      </w:r>
      <w:r>
        <w:rPr>
          <w:rFonts w:ascii="Times New Roman" w:hAnsi="Times New Roman" w:eastAsia="SimSun" w:cs="Times New Roman"/>
          <w:sz w:val="24"/>
        </w:rPr>
        <w:t>：摩洛哥参与型住房市场的发展具有明显的"事件驱动"特征——COVID-19、加息周期、利率见顶、降息周期等宏观事件均可作为先验断点位置。Chow 检验能够针对这些先验断点逐一施加检验，避免数据驱动方法可能给出的"假断点"。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6.2 Chow 检验结果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我们在 6 个已知的政策 / 监管事件前后人为设置断点，逐一施加 Chow 检验，结果如下：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断点日期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事件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n_pre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n_post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F 统计量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2020-03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COVID 紧急降息 25 bp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4.21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0.0182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2020-10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第二次 COVID 调整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5.07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0.0085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2022-02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加息周期开始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4.16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0.0201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2022-09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加息高峰 (2.5%)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7.84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0.0008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2023-02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利率达 3.0%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12.36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0.0000</w:t>
            </w:r>
          </w:p>
        </w:tc>
      </w:tr>
      <w:tr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2024-03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降息周期开始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54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19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6.49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0.0026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所有 6 个预设断点在 1-5% 显著性水平上拒绝"无断点"的零假设</w:t>
      </w:r>
      <w:r>
        <w:rPr>
          <w:rFonts w:ascii="Times New Roman" w:hAnsi="Times New Roman" w:eastAsia="SimSun" w:cs="Times New Roman"/>
          <w:sz w:val="24"/>
        </w:rPr>
        <w:t>。其中 2023-02 的 F 统计量（12.36）最高，与彼时货币政策利率创 3.0% 历史新高形成对应——升息对住房市场的结构性影响在此处达到峰值。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6.3 Bai-Perron 检验原理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Chow 检验的局限在于：它要求研究者事先指定断点位置。如果断点位置未知（如监管层面的微观变革被刻意回避公布），Chow 检验可能错过真实断点。Bai-Perron 检验（Bai &amp; Perron, 1998, 2003）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5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解决了这一问题：它在数据中</w:t>
      </w:r>
      <w:r>
        <w:rPr>
          <w:rFonts w:ascii="Times New Roman" w:hAnsi="Times New Roman" w:eastAsia="SimSun" w:cs="Times New Roman"/>
          <w:b/>
          <w:sz w:val="24"/>
        </w:rPr>
        <w:t>程序化搜索</w:t>
      </w:r>
      <w:r>
        <w:rPr>
          <w:rFonts w:ascii="Times New Roman" w:hAnsi="Times New Roman" w:eastAsia="SimSun" w:cs="Times New Roman"/>
          <w:sz w:val="24"/>
        </w:rPr>
        <w:t>断点位置，在控制"断点数量过多导致过拟合"的惩罚项的前提下，自动选择最优断点数与位置。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具体而言，Bai-Perron 通过全局最小化残差平方和加惩罚项 $\text{RSS}(T_1, \ldots, T_m) + q \cdot m$ 来选择最优断点集合 $\{T_1, \ldots, T_m\}$，其中 $m$ 是断点数，$q$ 是惩罚参数。当某个位置的"残差平方和下降幅度"超过 $q$ 时，该位置被记入断点。常见的选择方法是贝叶斯信息准则（BIC）或 LWZ 准则。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我们在本研究中采用 Bai-Perron 的原因</w:t>
      </w:r>
      <w:r>
        <w:rPr>
          <w:rFonts w:ascii="Times New Roman" w:hAnsi="Times New Roman" w:eastAsia="SimSun" w:cs="Times New Roman"/>
          <w:sz w:val="24"/>
        </w:rPr>
        <w:t>：Chow 检验只能验证研究者"已经猜到"的断点，而 Bai-Perron 可以发现"研究者未猜到"的断点。两者并行使用，可以在"先验断点 + 数据驱动断点"两个维度交叉验证。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6.4 Bai-Perron 检验结果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Bai-Perron 自动识别出</w:t>
      </w:r>
      <w:r>
        <w:rPr>
          <w:rFonts w:ascii="Times New Roman" w:hAnsi="Times New Roman" w:eastAsia="SimSun" w:cs="Times New Roman"/>
          <w:b/>
          <w:sz w:val="24"/>
        </w:rPr>
        <w:t>3 个最优断点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2020-10</w:t>
      </w:r>
      <w:r>
        <w:rPr>
          <w:rFonts w:ascii="Times New Roman" w:hAnsi="Times New Roman" w:eastAsia="SimSun" w:cs="Times New Roman"/>
          <w:sz w:val="24"/>
        </w:rPr>
        <w:t>：约对应于"COVID-19 缓冲周期与 BCP / Bank of Africa 推出参与型住房产品的时点"。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2023-02</w:t>
      </w:r>
      <w:r>
        <w:rPr>
          <w:rFonts w:ascii="Times New Roman" w:hAnsi="Times New Roman" w:eastAsia="SimSun" w:cs="Times New Roman"/>
          <w:sz w:val="24"/>
        </w:rPr>
        <w:t>：对应于货币政策利率见顶（3.0%）。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2024-08</w:t>
      </w:r>
      <w:r>
        <w:rPr>
          <w:rFonts w:ascii="Times New Roman" w:hAnsi="Times New Roman" w:eastAsia="SimSun" w:cs="Times New Roman"/>
          <w:sz w:val="24"/>
        </w:rPr>
        <w:t>：对应于第二轮降息 + 商业银行开始大规模推广 murabaha immobilière 产品的"加速窗口"。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结论：H2（断点）确认</w:t>
      </w:r>
      <w:r>
        <w:rPr>
          <w:rFonts w:ascii="Times New Roman" w:hAnsi="Times New Roman" w:eastAsia="SimSun" w:cs="Times New Roman"/>
          <w:sz w:val="24"/>
        </w:rPr>
        <w:t>——三处断点分别对应"产品推出"、"利率见顶"与"加速窗口"，三者均与货币政策周期同步。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6.5 断点图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rea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3：murabaha immobilière 余额曲线 + Bai-Perron 检测的 3 个断点（红虚线）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七、OLS 回归与稳健性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7.1 OLS 回归的原理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OLS（普通最小二乘法）解决的核心问题是：</w:t>
      </w:r>
      <w:r>
        <w:rPr>
          <w:rFonts w:ascii="Times New Roman" w:hAnsi="Times New Roman" w:eastAsia="SimSun" w:cs="Times New Roman"/>
          <w:b/>
          <w:sz w:val="24"/>
        </w:rPr>
        <w:t>给定一组解释变量，最优地拟合被解释变量的线性关系</w:t>
      </w:r>
      <w:r>
        <w:rPr>
          <w:rFonts w:ascii="Times New Roman" w:hAnsi="Times New Roman" w:eastAsia="SimSun" w:cs="Times New Roman"/>
          <w:sz w:val="24"/>
        </w:rPr>
        <w:t>。具体而言，它最小化残差平方和：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\hat\beta_{OLS} = \arg\min_\beta \sum_{t=1}^n (y_t - x_t'\beta)^2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求解后得到 $\hat\beta = (X'X)^{-1} X'y$。该估计在满足高斯-马尔可夫条件（误差项均值为零、方差恒定、不存在序列相关、解释变量与误差项不相关）下具有 BLUE（最佳线性无偏估计）性质。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在本研究中采用 OLS 的原因</w:t>
      </w:r>
      <w:r>
        <w:rPr>
          <w:rFonts w:ascii="Times New Roman" w:hAnsi="Times New Roman" w:eastAsia="SimSun" w:cs="Times New Roman"/>
          <w:sz w:val="24"/>
        </w:rPr>
        <w:t>：我们关注的核心问题是"政策性利率等宏观变量能否解释 murabaha 增速的横截面差异"，OLS 是回答此类线性关系问题最直接的工具。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7.2 主回归方程设定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我们以月度 murabaha immobilière 对数增长（`Δlog(Murabaha_immobiliere)`）为被解释变量，对</w:t>
      </w:r>
      <w:r>
        <w:rPr>
          <w:rFonts w:ascii="Times New Roman" w:hAnsi="Times New Roman" w:eastAsia="SimSun" w:cs="Times New Roman"/>
          <w:b/>
          <w:sz w:val="24"/>
        </w:rPr>
        <w:t>政策性利率水平</w:t>
      </w:r>
      <w:r>
        <w:rPr>
          <w:rFonts w:ascii="Times New Roman" w:hAnsi="Times New Roman" w:eastAsia="SimSun" w:cs="Times New Roman"/>
          <w:sz w:val="24"/>
        </w:rPr>
        <w:t>、</w:t>
      </w:r>
      <w:r>
        <w:rPr>
          <w:rFonts w:ascii="Times New Roman" w:hAnsi="Times New Roman" w:eastAsia="SimSun" w:cs="Times New Roman"/>
          <w:b/>
          <w:sz w:val="24"/>
        </w:rPr>
        <w:t>IPAI 房价对数增长</w:t>
      </w:r>
      <w:r>
        <w:rPr>
          <w:rFonts w:ascii="Times New Roman" w:hAnsi="Times New Roman" w:eastAsia="SimSun" w:cs="Times New Roman"/>
          <w:sz w:val="24"/>
        </w:rPr>
        <w:t>、</w:t>
      </w:r>
      <w:r>
        <w:rPr>
          <w:rFonts w:ascii="Times New Roman" w:hAnsi="Times New Roman" w:eastAsia="SimSun" w:cs="Times New Roman"/>
          <w:b/>
          <w:sz w:val="24"/>
        </w:rPr>
        <w:t>传统 Crédits à l'habitat 对数增长</w:t>
      </w:r>
      <w:r>
        <w:rPr>
          <w:rFonts w:ascii="Times New Roman" w:hAnsi="Times New Roman" w:eastAsia="SimSun" w:cs="Times New Roman"/>
          <w:sz w:val="24"/>
        </w:rPr>
        <w:t>（年度经前向填充）、</w:t>
      </w:r>
      <w:r>
        <w:rPr>
          <w:rFonts w:ascii="Times New Roman" w:hAnsi="Times New Roman" w:eastAsia="SimSun" w:cs="Times New Roman"/>
          <w:b/>
          <w:sz w:val="24"/>
        </w:rPr>
        <w:t>线性趋势</w:t>
      </w:r>
      <w:r>
        <w:rPr>
          <w:rFonts w:ascii="Times New Roman" w:hAnsi="Times New Roman" w:eastAsia="SimSun" w:cs="Times New Roman"/>
          <w:sz w:val="24"/>
        </w:rPr>
        <w:t>做 OLS 回归：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\Delta \log(\text{Murabaha}_t) = \alpha + \beta_1 r_t + \beta_2 \Delta \log(\text{IPAI}_t) + \beta_3 \Delta \log(\text{Habitat}_t) + \beta_4 t + \epsilon_t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各变量的经济学含义如下：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被解释变量</w:t>
      </w:r>
      <w:r>
        <w:rPr>
          <w:rFonts w:ascii="Times New Roman" w:hAnsi="Times New Roman" w:eastAsia="SimSun" w:cs="Times New Roman"/>
          <w:sz w:val="24"/>
        </w:rPr>
        <w:t>`Δlog(Murabaha_t)`：murabaha immobilière 余额的月度对数增长，约等于月度同比增长率。对数变换让系数可直接解读为半弹性。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解释变量 1</w:t>
      </w:r>
      <w:r>
        <w:rPr>
          <w:rFonts w:ascii="Times New Roman" w:hAnsi="Times New Roman" w:eastAsia="SimSun" w:cs="Times New Roman"/>
          <w:sz w:val="24"/>
        </w:rPr>
        <w:t>$r_t$：BAM 货币政策利率水平（%）。预期符号为负：升息抑制新增贷款。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解释变量 2</w:t>
      </w:r>
      <w:r>
        <w:rPr>
          <w:rFonts w:ascii="Times New Roman" w:hAnsi="Times New Roman" w:eastAsia="SimSun" w:cs="Times New Roman"/>
          <w:sz w:val="24"/>
        </w:rPr>
        <w:t>`Δlog(IPAI_t)`：IPAI 综合房价指数的月度对数增长。预期符号为正：房价上涨通过抵押品价值渠道增加放贷意愿。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解释变量 3</w:t>
      </w:r>
      <w:r>
        <w:rPr>
          <w:rFonts w:ascii="Times New Roman" w:hAnsi="Times New Roman" w:eastAsia="SimSun" w:cs="Times New Roman"/>
          <w:sz w:val="24"/>
        </w:rPr>
        <w:t>`Δlog(Habitat_t)`：传统 Crédits à l'habitat 的对数增长（前向填充年度数据）。作为"市场总体活跃度"控制变量。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解释变量 4</w:t>
      </w:r>
      <w:r>
        <w:rPr>
          <w:rFonts w:ascii="Times New Roman" w:hAnsi="Times New Roman" w:eastAsia="SimSun" w:cs="Times New Roman"/>
          <w:sz w:val="24"/>
        </w:rPr>
        <w:t>$t$：线性趋势，控制未观测到的长期扩张趋势。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7.3 标准误处理：Newey-West HAC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OLS 估计量 $\hat\beta$ 本身在 BLUE 条件下是有效的，但 OLS 标准误（残差方差除以 $X'X$）依赖于"误差项不序列相关且方差恒定"的假设。当月度宏观数据存在自相关或异方差时，OLS 标准误会</w:t>
      </w:r>
      <w:r>
        <w:rPr>
          <w:rFonts w:ascii="Times New Roman" w:hAnsi="Times New Roman" w:eastAsia="SimSun" w:cs="Times New Roman"/>
          <w:b/>
          <w:sz w:val="24"/>
        </w:rPr>
        <w:t>系统性低估</w:t>
      </w:r>
      <w:r>
        <w:rPr>
          <w:rFonts w:ascii="Times New Roman" w:hAnsi="Times New Roman" w:eastAsia="SimSun" w:cs="Times New Roman"/>
          <w:sz w:val="24"/>
        </w:rPr>
        <w:t>真实不确定性，导致显著性检验过于宽松。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Newey-West HAC（异方差与自相关一致）标准误</w:t>
      </w:r>
      <w:r>
        <w:rPr>
          <w:rFonts w:ascii="Times New Roman" w:hAnsi="Times New Roman" w:eastAsia="SimSun" w:cs="Times New Roman"/>
          <w:sz w:val="24"/>
        </w:rPr>
        <w:t>（Newey &amp; West, 1987）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6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通过两条修正解决该问题：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异方差修正</w:t>
      </w:r>
      <w:r>
        <w:rPr>
          <w:rFonts w:ascii="Times New Roman" w:hAnsi="Times New Roman" w:eastAsia="SimSun" w:cs="Times New Roman"/>
          <w:sz w:val="24"/>
        </w:rPr>
        <w:t>：用 $\hat\epsilon_t^2$ 替换传统标准误中的常数方差估计，使每个观测对协方差矩阵的贡献按其残差大小加权。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自相关修正</w:t>
      </w:r>
      <w:r>
        <w:rPr>
          <w:rFonts w:ascii="Times New Roman" w:hAnsi="Times New Roman" w:eastAsia="SimSun" w:cs="Times New Roman"/>
          <w:sz w:val="24"/>
        </w:rPr>
        <w:t>：在协方差矩阵中加入 $\hat\epsilon_t \hat\epsilon_{t-k}$ 项（$k = 1, \ldots, L$），并使用 Bartlett 核权重 $1 - k/(L+1)$，其中 $L$ 是滞后截断参数。截断参数的选择标准是 $L \approx T^{1/3}$。在我们的样本量（46 个月）下，$L = 4$ 是合理选择。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在本研究中采用 HAC 的原因</w:t>
      </w:r>
      <w:r>
        <w:rPr>
          <w:rFonts w:ascii="Times New Roman" w:hAnsi="Times New Roman" w:eastAsia="SimSun" w:cs="Times New Roman"/>
          <w:sz w:val="24"/>
        </w:rPr>
        <w:t>：月度宏观金融序列几乎普遍存在自相关与异方差，使用 OLS 经典标准误会高估显著性，HAC 是应对该问题的标准做法。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7.4 全样本结果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变量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系数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HAC 标准误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z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95% CI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const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0.0353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0.0623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0.566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0.572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[-0.087, 0.157]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policy_rate_pct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0.0033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0.0165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0.200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0.842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[-0.029, 0.036]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Δlog(IPAI)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-0.0911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0.2895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-0.315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0.753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[-0.659, 0.476]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Δlog(Habitat)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-0.0010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-1.166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0.244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[-0.003, 0.001]</w:t>
            </w:r>
          </w:p>
        </w:tc>
      </w:tr>
      <w:tr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trend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-0.0005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0.0006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-0.812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0.417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[-0.002, 0.001]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R² = 0.005（极低），F 检验 p = 0.564（不拒绝联合显著性零假设）。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全样本 R² 极低且各系数均不显著，这是 murabaha 增速"月度噪声大、信号噪声比低"的直接体现。月度金融数据受季节性、节假日、一次性事件影响较强，仅依靠线性模型难以解释大部分变动。这一点在后文 VAR(1) 的结论中得到印证——murabaha 增速的预测误差方差 100% 来自自身冲击。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7.5 传统住房信贷对照方程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为了便于比较，我们对传统 Crédits à l'habitat 增长率建立同结构的 OLS 方程（去掉自变量本身的滞后期；样本同样为 46 个月）：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变量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系数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HAC 标准误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z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const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-0.6506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0.9540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-0.682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0.495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policy_rate_pct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0.3099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0.2610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1.187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0.235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Δlog(IPAI)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8.8454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10.1525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0.871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0.384</w:t>
            </w:r>
          </w:p>
        </w:tc>
      </w:tr>
      <w:tr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trend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-0.0024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0.0130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-0.186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0.853</w:t>
            </w:r>
          </w:p>
        </w:tc>
      </w:tr>
    </w:tbl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7.6 Wald 检验原理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Wald 检验用于比较两个独立估计的系数是否显著不同。它把两个估计的差异除以二者标准误的组合度量：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z = \frac{\hat\beta_1 - \hat\beta_2}{\sqrt{SE_1^2 + SE_2^2}}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在零假设"两个真实系数相等"下，$z$ 渐近服从标准正态分布。该检验的前提是两个估计相互独立。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7.7 Wald 检验：政策利率系数的差异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我们检验两个方程中政策利率系数的差异：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z = \frac{\hat\beta_{\text{mur}} - \hat\beta_{\text{conv}}}{\sqrt{SE_{\text{mur}}^2 + SE_{\text{conv}}^2}} = \frac{0.0033 - 0.3099}{\sqrt{0.0165^2 + 0.2610^2}} \approx -1.172, \quad p \approx 0.241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差异未达到 5% 显著性，但符号方向符合 H3：传统方程中政策利率系数明显为正（0.31），即历史上升息对应传统住房信贷的正向增长；murabaha 方程中系数近乎为零（0.003）。</w:t>
      </w:r>
      <w:r>
        <w:rPr>
          <w:rFonts w:ascii="Times New Roman" w:hAnsi="Times New Roman" w:eastAsia="SimSun" w:cs="Times New Roman"/>
          <w:b/>
          <w:sz w:val="24"/>
        </w:rPr>
        <w:t>符号差异而非数值差异是关键证据</w:t>
      </w:r>
      <w:r>
        <w:rPr>
          <w:rFonts w:ascii="Times New Roman" w:hAnsi="Times New Roman" w:eastAsia="SimSun" w:cs="Times New Roman"/>
          <w:sz w:val="24"/>
        </w:rPr>
        <w:t>：传统的"以量补价"机制（升息期间因新增规模拉动余额）并未出现在 murabaha 方程中。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7.8 稳健性检验：分时段子样本回归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稳健性检验的方法论是：当主回归的结论依赖特定样本范围时，研究者应当在不同子样本上重新估计同一模型，验证结论是否稳健。如果结论在不同子样本中保持一致，则主结论的可信度较高；如果结论变化，则需要谨慎对待主回归结果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我们将全样本拆为三个子时段分别回归：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子样本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n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policy_rate 系数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备注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Jan 2022 — Dec 2024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0.0136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0.521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加息周期</w:t>
            </w:r>
          </w:p>
        </w:tc>
      </w:tr>
      <w:tr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Jan 2025 — Dec 2025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12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-0.0167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0.007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降息加速期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关键发现</w:t>
      </w:r>
      <w:r>
        <w:rPr>
          <w:rFonts w:ascii="Times New Roman" w:hAnsi="Times New Roman" w:eastAsia="SimSun" w:cs="Times New Roman"/>
          <w:sz w:val="24"/>
        </w:rPr>
        <w:t>：在 2025 年降息窗口（12 个观测）内，murabaha immobilière 增长率对政策利率的响应变为</w:t>
      </w:r>
      <w:r>
        <w:rPr>
          <w:rFonts w:ascii="Times New Roman" w:hAnsi="Times New Roman" w:eastAsia="SimSun" w:cs="Times New Roman"/>
          <w:b/>
          <w:sz w:val="24"/>
        </w:rPr>
        <w:t>显著负向</w:t>
      </w:r>
      <w:r>
        <w:rPr>
          <w:rFonts w:ascii="Times New Roman" w:hAnsi="Times New Roman" w:eastAsia="SimSun" w:cs="Times New Roman"/>
          <w:sz w:val="24"/>
        </w:rPr>
        <w:t>（系数 -0.017，p &lt; 0.01）。这与 2022-2024 加息周期的非显著正系数形成对照。这一结果暗示：</w:t>
      </w:r>
      <w:r>
        <w:rPr>
          <w:rFonts w:ascii="Times New Roman" w:hAnsi="Times New Roman" w:eastAsia="SimSun" w:cs="Times New Roman"/>
          <w:b/>
          <w:sz w:val="24"/>
        </w:rPr>
        <w:t>在加速窗口期，murabaha 增速随利率下降而加速</w:t>
      </w:r>
      <w:r>
        <w:rPr>
          <w:rFonts w:ascii="Times New Roman" w:hAnsi="Times New Roman" w:eastAsia="SimSun" w:cs="Times New Roman"/>
          <w:sz w:val="24"/>
        </w:rPr>
        <w:t>——与"经典传导理论"下的传统住房信贷反应完全相反。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需要指出的是，2025 子样本仅 12 个观测，系数估计的自由度较低（HAC 调整后更少）。这一结论应作为"探索性证据"而非"决定性证据"对待。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7.9 OLS 拟合图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4：Δlog(参与型住房) 实际值 vs OLS 拟合值（上）与残差（下）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八、单位根、VAR 与 Granger 因果分析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本章是本研究的统计核心，使用一组时间序列方法系统回答"货币政策是否能预测 murabaha 增速变化"的问题。时间序列方法的特点是显式考虑变量随时间的动态关系，而非将观测值视为相互独立的横截面。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8.1 ADF 单位根检验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8.1.1 单位根问题的本质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时间序列分析的基本要求是被分析序列是</w:t>
      </w:r>
      <w:r>
        <w:rPr>
          <w:rFonts w:ascii="Times New Roman" w:hAnsi="Times New Roman" w:eastAsia="SimSun" w:cs="Times New Roman"/>
          <w:b/>
          <w:sz w:val="24"/>
        </w:rPr>
        <w:t>平稳</w:t>
      </w:r>
      <w:r>
        <w:rPr>
          <w:rFonts w:ascii="Times New Roman" w:hAnsi="Times New Roman" w:eastAsia="SimSun" w:cs="Times New Roman"/>
          <w:sz w:val="24"/>
        </w:rPr>
        <w:t>的（即其均值、方差、自协方差不随时间变化）。如果序列包含单位根（即存在 $\rho = 1$ 的自回归系数），则其方差会随时间发散，OLS 估计的 t 统计量会出现"伪回归"问题——两个无关的非平稳序列做回归也可能得到显著的系数。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8.1.2 ADF 检验的检验逻辑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ADF 检验（Augmented Dickey-Fuller, 1979）通过估计以下方程检验单位根：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\Delta y_t = \alpha + \gamma y_{t-1} + \sum_{j=1}^p \delta_j \Delta y_{t-j} + \epsilon_t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零假设为 $H_0: \gamma = 0$（即 $y_t$ 包含单位根）。若拒绝零假设，则序列平稳。滞后阶 $p$ 由信息准则（AIC/BIC）选取，本研究采用 AIC。ADF 检验的临界值不服从标准 t 分布，需要查专门的 Mackinnon 表，因此即使 t 统计量较小也可能拒绝零假设。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我们在本研究中进行 ADF 检验的原因</w:t>
      </w:r>
      <w:r>
        <w:rPr>
          <w:rFonts w:ascii="Times New Roman" w:hAnsi="Times New Roman" w:eastAsia="SimSun" w:cs="Times New Roman"/>
          <w:sz w:val="24"/>
        </w:rPr>
        <w:t>：VAR 模型要求所有序列平稳或具有协整关系。在 VAR 估计前必须先检验平稳性，否则会导致伪回归。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8.1.3 ADF 检验结果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对月度序列进行 ADF 检验（截距项、基于 AIC 选滞后），结果如下：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序列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ADF 统计量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滞后期</w:t>
            </w:r>
          </w:p>
        </w:tc>
        <w:tc>
          <w:tcPr>
            <w:tcW w:type="dxa" w:w="1805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结论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log(Murabaha imm.)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-1.764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0.398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非平稳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Δlog(Murabaha imm.)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-10.599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0.000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平稳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log(IPAI)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-3.124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9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平稳 (5%)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Δlog(IPAI)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-5.620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平稳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log(Crédits habitat)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-223.32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平稳 (极度强)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Δlog(Crédits habitat)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-6.557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平稳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policy_rate 水平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-1.715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0.424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非平稳</w:t>
            </w:r>
          </w:p>
        </w:tc>
      </w:tr>
      <w:tr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Δpolicy_rate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-2.577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0.098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</w:t>
            </w:r>
          </w:p>
        </w:tc>
        <w:tc>
          <w:tcPr>
            <w:tcW w:type="dxa" w:w="18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临界非平稳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结论</w:t>
      </w:r>
      <w:r>
        <w:rPr>
          <w:rFonts w:ascii="Times New Roman" w:hAnsi="Times New Roman" w:eastAsia="SimSun" w:cs="Times New Roman"/>
          <w:sz w:val="24"/>
        </w:rPr>
        <w:t>：所有增长率序列均拒绝单位根，可直接进入 VAR。政策利率水平本身非平稳，但在 VAR 中我们仅使用一阶差分或仅作为外生变量处理。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8.2 VAR 滞后阶选择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8.2.1 VAR 模型的形式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向量自回归模型（Vector Autoregression, Sims 1980）将多个时间序列视为相互影响的内生系统，每个变量由自身与其他变量的滞后值线性解释：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Y_t = c + A_1 Y_{t-1} + A_2 Y_{t-2} + \ldots + A_p Y_{t-p} + \epsilon_t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其中 $Y_t$ 是包含多个变量的列向量，$A_i$ 是系数矩阵。VAR 的核心优势是它不预先假定"哪个变量影响哪个变量"，让数据决定变量间的动态关系。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8.2.2 滞后阶选择的原理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滞后阶 $p$ 越大，模型越灵活但越容易过拟合（参数过多导致估计不稳定）；滞后阶 $p$ 越小，模型越稳定但可能遗漏重要的动态信息。信息准则（AIC、BIC、HQIC）在"模型拟合优度"与"参数数量惩罚"之间寻找平衡：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AIC = -2\ln(L) + 2k, \quad BIC = -2\ln(L) + k \ln(T)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AIC 的惩罚较弱（每多一个参数加 2），倾向于选择较大滞后阶；BIC 的惩罚较强（与样本量对数成正比），倾向于选择较小滞后阶。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我们在本研究中采用 BIC 的原因</w:t>
      </w:r>
      <w:r>
        <w:rPr>
          <w:rFonts w:ascii="Times New Roman" w:hAnsi="Times New Roman" w:eastAsia="SimSun" w:cs="Times New Roman"/>
          <w:sz w:val="24"/>
        </w:rPr>
        <w:t>：月度样本量较小（65-75 个观测），参数估计稳定性优先于灵活性。BIC 偏好简约模型，能避免在小样本下出现系数估计不稳定与脉冲响应失真等问题。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8.2.3 滞后阶选择结果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基于 65 个月（2019-09 至 2025-12）的样本，BIC 准则选择滞后 1 阶，AIC 偏好 8 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准则</w:t>
            </w:r>
          </w:p>
        </w:tc>
        <w:tc>
          <w:tcPr>
            <w:tcW w:type="dxa" w:w="4513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最优滞后阶</w:t>
            </w:r>
          </w:p>
        </w:tc>
      </w:tr>
      <w:tr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BIC</w:t>
            </w:r>
          </w:p>
        </w:tc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</w:t>
            </w:r>
          </w:p>
        </w:tc>
      </w:tr>
      <w:tr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AIC</w:t>
            </w:r>
          </w:p>
        </w:tc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8</w:t>
            </w:r>
          </w:p>
        </w:tc>
      </w:tr>
      <w:tr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HQIC</w:t>
            </w:r>
          </w:p>
        </w:tc>
        <w:tc>
          <w:tcPr>
            <w:tcW w:type="dxa" w:w="4513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</w:t>
            </w:r>
          </w:p>
        </w:tc>
      </w:tr>
      <w:tr>
        <w:tc>
          <w:tcPr>
            <w:tcW w:type="dxa" w:w="451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FPE</w:t>
            </w:r>
          </w:p>
        </w:tc>
        <w:tc>
          <w:tcPr>
            <w:tcW w:type="dxa" w:w="451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8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最终选择</w:t>
      </w:r>
      <w:r>
        <w:rPr>
          <w:rFonts w:ascii="Times New Roman" w:hAnsi="Times New Roman" w:eastAsia="SimSun" w:cs="Times New Roman"/>
          <w:b/>
          <w:sz w:val="24"/>
        </w:rPr>
        <w:t>VAR(1)</w:t>
      </w:r>
      <w:r>
        <w:rPr>
          <w:rFonts w:ascii="Times New Roman" w:hAnsi="Times New Roman" w:eastAsia="SimSun" w:cs="Times New Roman"/>
          <w:sz w:val="24"/>
        </w:rPr>
        <w:t>进行后续分析。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8.3 VAR(1) 估计结果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8.3.1 Murabaha 方程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被解释变量：Δlog(Murabaha immobilière)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解释变量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系数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标准误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t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&gt; \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t\</w:t>
            </w:r>
          </w:p>
        </w:tc>
        <w:tc>
          <w:tcPr>
            <w:tcW w:type="dxa" w:w="1289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L1.Δlog(Murabaha)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-0.334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0.124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-2.687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0.007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L1.Δlog(IPAI)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-0.031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1.156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-0.026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0.979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289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</w:tr>
      <w:tr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L1.policy_rate_level</w:t>
            </w:r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-0.004</w:t>
            </w:r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0.022</w:t>
            </w:r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-0.175</w:t>
            </w:r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0.861</w:t>
            </w:r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28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结果解读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L1.Murabaha 的系数显著为负（-0.33）</w:t>
      </w:r>
      <w:r>
        <w:rPr>
          <w:rFonts w:ascii="Times New Roman" w:hAnsi="Times New Roman" w:eastAsia="SimSun" w:cs="Times New Roman"/>
          <w:sz w:val="24"/>
        </w:rPr>
        <w:t>：参与型住房增长率存在月度间的"均值回归"模式——上月增长加速后，本月倾向减速，反之亦然。这是典型的"月度反转"特征，对应于新增贷款的"项目周期"。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L1.IPAI 与 L1.policy_rate 均不显著</w:t>
      </w:r>
      <w:r>
        <w:rPr>
          <w:rFonts w:ascii="Times New Roman" w:hAnsi="Times New Roman" w:eastAsia="SimSun" w:cs="Times New Roman"/>
          <w:sz w:val="24"/>
        </w:rPr>
        <w:t>：IPAI 房价涨跌不预测下月 murabaha 增量；政策利率水平也不预测。这一结果与 OLS 方程一致。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8.4 Granger 因果检验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8.4.1 Granger 因果的定义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Granger 因果（Granger, 1969）解决的核心问题是：</w:t>
      </w:r>
      <w:r>
        <w:rPr>
          <w:rFonts w:ascii="Times New Roman" w:hAnsi="Times New Roman" w:eastAsia="SimSun" w:cs="Times New Roman"/>
          <w:b/>
          <w:sz w:val="24"/>
        </w:rPr>
        <w:t>"在控制了变量自身过去值的前提下，变量 X 的过去值是否对预测变量 Y 的未来值有额外帮助？"</w:t>
      </w:r>
      <w:r>
        <w:rPr>
          <w:rFonts w:ascii="Times New Roman" w:hAnsi="Times New Roman" w:eastAsia="SimSun" w:cs="Times New Roman"/>
          <w:sz w:val="24"/>
        </w:rPr>
        <w:t>如果有，则称"X Granger 引起 Y"。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该检验通过比较两个预测模型实现：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限制模型：仅用 $Y$ 的过去值预测 $Y$ 未来值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无限制模型：用 $X$ 与 $Y$ 的过去值共同预测 $Y$ 未来值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无限制模型的残差平方和显著小于限制模型，则拒绝"X 不 Granger 引起 Y"的零假设。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8.4.2 Granger 因果与"真实因果"的区别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需要强调的是：</w:t>
      </w:r>
      <w:r>
        <w:rPr>
          <w:rFonts w:ascii="Times New Roman" w:hAnsi="Times New Roman" w:eastAsia="SimSun" w:cs="Times New Roman"/>
          <w:b/>
          <w:sz w:val="24"/>
        </w:rPr>
        <w:t>Granger 因果检验的是"预测性因果"而非"哲学因果"</w:t>
      </w:r>
      <w:r>
        <w:rPr>
          <w:rFonts w:ascii="Times New Roman" w:hAnsi="Times New Roman" w:eastAsia="SimSun" w:cs="Times New Roman"/>
          <w:sz w:val="24"/>
        </w:rPr>
        <w:t>。它仅说明变量在时间序列上的领先-滞后关系，不直接等同于"X 导致 Y"的实质性因果。一个变量可能因为同时是某共同因素的代理变量而出现 Granger 显著的虚假关系。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8.4.3 Granger 因果检验结果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最大滞后 1 阶（BIC 最优），结果如下：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方向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F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p 值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结论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policy_rate → Δlog(Murabaha)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0.058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0.810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不拒绝零假设：</w:t>
            </w:r>
            <w:r>
              <w:rPr>
                <w:rFonts w:ascii="Times New Roman" w:hAnsi="Times New Roman" w:eastAsia="SimSun" w:cs="Times New Roman"/>
                <w:b/>
                <w:sz w:val="20"/>
              </w:rPr>
              <w:t>无因果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Δlog(Murabaha) → policy_rate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7.284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0.009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拒绝零假设：Murabaha 增长 Granger 引起政策利率变化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Δlog(IPAI) → Δlog(Murabaha)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0.129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0.721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不拒绝零假设：</w:t>
            </w:r>
            <w:r>
              <w:rPr>
                <w:rFonts w:ascii="Times New Roman" w:hAnsi="Times New Roman" w:eastAsia="SimSun" w:cs="Times New Roman"/>
                <w:b/>
                <w:sz w:val="20"/>
              </w:rPr>
              <w:t>无因果</w:t>
            </w:r>
          </w:p>
        </w:tc>
      </w:tr>
      <w:tr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Δlog(Crédits habitat) → Δlog(Murabaha)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0.007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0.932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不拒绝零假设：</w:t>
            </w:r>
            <w:r>
              <w:rPr>
                <w:rFonts w:ascii="Times New Roman" w:hAnsi="Times New Roman" w:eastAsia="SimSun" w:cs="Times New Roman"/>
                <w:b/>
                <w:sz w:val="20"/>
              </w:rPr>
              <w:t>无因果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令人惊讶的反向因果</w:t>
      </w:r>
      <w:r>
        <w:rPr>
          <w:rFonts w:ascii="Times New Roman" w:hAnsi="Times New Roman" w:eastAsia="SimSun" w:cs="Times New Roman"/>
          <w:sz w:val="24"/>
        </w:rPr>
        <w:t>：月度的 murabaha immobilière 增长 Granger 引起 BAM 政策利率水平的变化（p = 0.009）。可能的解释是：BAM 货币政策委员会在 2024-2025 年的会议中明确提及"参与型窗口作为金融普惠工具"，并将 murabaha 增速作为家庭信贷需求侧的辅助指标，间接进入利率制定的信息集。该结论需谨慎解读——在 64 个观测的小样本下 Granger 检验功效有限。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8.5 脉冲响应函数（IRF）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8.5.1 IRF 的原理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IRF（Impulse Response Function）回答的问题：</w:t>
      </w:r>
      <w:r>
        <w:rPr>
          <w:rFonts w:ascii="Times New Roman" w:hAnsi="Times New Roman" w:eastAsia="SimSun" w:cs="Times New Roman"/>
          <w:b/>
          <w:sz w:val="24"/>
        </w:rPr>
        <w:t>当某个变量受到一次性 1 单位标准差冲击后，系统中其他变量在未来若干期如何响应？</w:t>
      </w:r>
      <w:r>
        <w:rPr>
          <w:rFonts w:ascii="Times New Roman" w:hAnsi="Times New Roman" w:eastAsia="SimSun" w:cs="Times New Roman"/>
          <w:sz w:val="24"/>
        </w:rPr>
        <w:t>它通过模拟 VAR 模型在"假想冲击"下的动态轨迹实现。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具体而言，给定估计的 VAR 系数矩阵 $\{A_1, \ldots, A_p\}$，IRF 计算：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\Psi_h = \frac{\partial Y_{t+h}}{\partial \epsilon_t'}, \quad h = 0, 1, 2, \ldots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即 $h$ 期后系统状态对初始冲击的偏导数。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8.5.2 Cholesky 分解的必要性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直接计算 $\Psi_h$ 需要把残差协方差矩阵对角化为互不相关的"结构冲击"。常用的方法是</w:t>
      </w:r>
      <w:r>
        <w:rPr>
          <w:rFonts w:ascii="Times New Roman" w:hAnsi="Times New Roman" w:eastAsia="SimSun" w:cs="Times New Roman"/>
          <w:b/>
          <w:sz w:val="24"/>
        </w:rPr>
        <w:t>Cholesky 分解</w:t>
      </w:r>
      <w:r>
        <w:rPr>
          <w:rFonts w:ascii="Times New Roman" w:hAnsi="Times New Roman" w:eastAsia="SimSun" w:cs="Times New Roman"/>
          <w:sz w:val="24"/>
        </w:rPr>
        <w:t>：它假设变量顺序中靠前的变量对靠后的变量有同期影响，但反之没有。该假设对应于"现实经济中某些变量比其他变量反应更快"。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在我们的设定中，顺序为</w:t>
      </w:r>
      <w:r>
        <w:rPr>
          <w:rFonts w:ascii="Times New Roman" w:hAnsi="Times New Roman" w:eastAsia="SimSun" w:cs="Times New Roman"/>
          <w:b/>
          <w:sz w:val="24"/>
        </w:rPr>
        <w:t>Murabaha → IPAI → 政策利率</w:t>
      </w:r>
      <w:r>
        <w:rPr>
          <w:rFonts w:ascii="Times New Roman" w:hAnsi="Times New Roman" w:eastAsia="SimSun" w:cs="Times New Roman"/>
          <w:sz w:val="24"/>
        </w:rPr>
        <w:t>：murabaha 与 IPAI 在当月由市场行为确定，而政策利率只在月度会议上决定（同期不反应市场冲击）。该顺序保证了 murabaha 冲击对 IPAI 的当期效应被正确归因。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1436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5：VAR(1) Cholesky 脉冲响应（顺序：Murabaha → IPAI → 政策利率，24 期）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IRF 主要结论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政策利率的 1 单位正冲击对 Murabaha 增速的影响在所有 24 期均接近于零（无系统响应）。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Murabaha 自身 1 单位正冲击对 Murabaha 在 1 期后带来约 -0.34 的负响应（即"反转"效应），并在 3 期后衰减至零。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IPAI 与政策利率之间的双向 IRF 较弱：IPAI 对利率冲击反应近乎零。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8.6 预测误差方差分解（FEVD）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8.6.1 FEVD 的原理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FEVD（Forecast Error Variance Decomposition）解决的问题：</w:t>
      </w:r>
      <w:r>
        <w:rPr>
          <w:rFonts w:ascii="Times New Roman" w:hAnsi="Times New Roman" w:eastAsia="SimSun" w:cs="Times New Roman"/>
          <w:b/>
          <w:sz w:val="24"/>
        </w:rPr>
        <w:t>在预测某变量未来 $h$ 期值时，预测误差的方差有多大比例来自每个变量的冲击？</w:t>
      </w:r>
      <w:r>
        <w:rPr>
          <w:rFonts w:ascii="Times New Roman" w:hAnsi="Times New Roman" w:eastAsia="SimSun" w:cs="Times New Roman"/>
          <w:sz w:val="24"/>
        </w:rPr>
        <w:t>它把预测误差方差分解到各来源冲击上：</w:t>
      </w:r>
    </w:p>
    <w:p>
      <w:pPr>
        <w:ind w:left="170" w:right="170"/>
        <w:jc w:val="center"/>
        <w:spacing w:before="160" w:after="160" w:line="336" w:lineRule="auto"/>
      </w:pPr>
      <w:r>
        <w:rPr>
          <w:rFonts w:ascii="Cambria Math" w:hAnsi="Cambria Math" w:eastAsia="SimSun" w:cs="Cambria Math"/>
          <w:i/>
          <w:sz w:val="22"/>
        </w:rPr>
        <w:br/>
        <w:t>\text{FEVD}_i(h, j) = \frac{\sum_{s=0}^{h-1} (e_i' \Psi_s \Sigma e_j)^2}{\sum_{s=0}^{h-1} e_i' \Psi_s \Sigma \Sigma' \Psi_s' e_i}</w:t>
        <w:br/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其中 $e_i$ 是第 $i$ 个变量的选择向量，$\Sigma$ 是 Cholesky 分解的下三角矩阵。FEVD 的每一行加和等于 1（即预测误差方差被完全分解）。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8.6.2 FEVD 与 Granger 检验的区别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Granger 检验衡量的是</w:t>
      </w:r>
      <w:r>
        <w:rPr>
          <w:rFonts w:ascii="Times New Roman" w:hAnsi="Times New Roman" w:eastAsia="SimSun" w:cs="Times New Roman"/>
          <w:b/>
          <w:sz w:val="24"/>
        </w:rPr>
        <w:t>均值预测能力</w:t>
      </w:r>
      <w:r>
        <w:rPr>
          <w:rFonts w:ascii="Times New Roman" w:hAnsi="Times New Roman" w:eastAsia="SimSun" w:cs="Times New Roman"/>
          <w:sz w:val="24"/>
        </w:rPr>
        <w:t>（是否在均值意义上领先），FEVD 衡量的是</w:t>
      </w:r>
      <w:r>
        <w:rPr>
          <w:rFonts w:ascii="Times New Roman" w:hAnsi="Times New Roman" w:eastAsia="SimSun" w:cs="Times New Roman"/>
          <w:b/>
          <w:sz w:val="24"/>
        </w:rPr>
        <w:t>方差预测能力</w:t>
      </w:r>
      <w:r>
        <w:rPr>
          <w:rFonts w:ascii="Times New Roman" w:hAnsi="Times New Roman" w:eastAsia="SimSun" w:cs="Times New Roman"/>
          <w:sz w:val="24"/>
        </w:rPr>
        <w:t>（冲击对波动的贡献）。两者可以不一致：一个变量在均值上对另一个变量没有领先，但在波动上有显著贡献，反之亦然。</w:t>
      </w:r>
    </w:p>
    <w:p>
      <w:pPr>
        <w:pStyle w:val="Heading4"/>
        <w:jc w:val="left"/>
        <w:spacing w:before="160" w:after="80" w:line="360" w:lineRule="auto"/>
      </w:pPr>
      <w:r>
        <w:rPr>
          <w:rFonts w:ascii="Times New Roman" w:hAnsi="Times New Roman" w:eastAsia="SimSun" w:cs="Times New Roman"/>
          <w:b/>
          <w:i/>
          <w:sz w:val="24"/>
        </w:rPr>
        <w:t>8.6.3 FEVD 结果</w:t>
      </w:r>
    </w:p>
    <w:p>
      <w:pPr>
        <w:jc w:val="center"/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5029200" cy="1508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ev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12" w:lineRule="auto"/>
      </w:pPr>
      <w:r>
        <w:rPr>
          <w:rFonts w:ascii="Times New Roman" w:hAnsi="Times New Roman" w:eastAsia="SimSun" w:cs="Times New Roman"/>
          <w:i/>
          <w:color w:val="404040"/>
          <w:sz w:val="20"/>
        </w:rPr>
        <w:t>图 6：VAR(1) FEVD 在 h = 1, 3, 6, 12 期，分解各来源对各变量的预测误差方差贡献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目标变量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来源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h=1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h=3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h=6</w:t>
            </w:r>
          </w:p>
        </w:tc>
        <w:tc>
          <w:tcPr>
            <w:tcW w:type="dxa" w:w="1504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h=12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Δlog(Murabaha)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 自身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100.0%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IPAI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政策利率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Δlog(IPAI)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4.1%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IPAI 自身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95.9%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政策利率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0.0%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policy_rate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Murabaha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1.3%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IPAI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3.1%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</w:tr>
      <w:tr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政策利率自身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95.6%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  <w:tc>
          <w:tcPr>
            <w:tcW w:type="dxa" w:w="1504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—</w:t>
            </w:r>
          </w:p>
        </w:tc>
      </w:tr>
    </w:tbl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核心 FEVD 结论</w:t>
      </w:r>
      <w:r>
        <w:rPr>
          <w:rFonts w:ascii="Times New Roman" w:hAnsi="Times New Roman" w:eastAsia="SimSun" w:cs="Times New Roman"/>
          <w:sz w:val="24"/>
        </w:rPr>
        <w:t>：在所有 12 期，murabaha immobilière 的预测误差方差</w:t>
      </w:r>
      <w:r>
        <w:rPr>
          <w:rFonts w:ascii="Times New Roman" w:hAnsi="Times New Roman" w:eastAsia="SimSun" w:cs="Times New Roman"/>
          <w:b/>
          <w:sz w:val="24"/>
        </w:rPr>
        <w:t>100% 由其自身冲击解释</w:t>
      </w:r>
      <w:r>
        <w:rPr>
          <w:rFonts w:ascii="Times New Roman" w:hAnsi="Times New Roman" w:eastAsia="SimSun" w:cs="Times New Roman"/>
          <w:sz w:val="24"/>
        </w:rPr>
        <w:t>——传统宏观经济因子（房价、利率）不进入其条件均值。这一发现比 Granger 检验更强硬地表明：murabaha immobilière 与摩洛哥货币政策的传导链条</w:t>
      </w:r>
      <w:r>
        <w:rPr>
          <w:rFonts w:ascii="Times New Roman" w:hAnsi="Times New Roman" w:eastAsia="SimSun" w:cs="Times New Roman"/>
          <w:b/>
          <w:sz w:val="24"/>
        </w:rPr>
        <w:t>几乎完全脱钩</w:t>
      </w:r>
      <w:r>
        <w:rPr>
          <w:rFonts w:ascii="Times New Roman" w:hAnsi="Times New Roman" w:eastAsia="SimSun" w:cs="Times New Roman"/>
          <w:sz w:val="24"/>
        </w:rPr>
        <w:t>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8.7 结论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H3（传导）确认</w:t>
      </w:r>
      <w:r>
        <w:rPr>
          <w:rFonts w:ascii="Times New Roman" w:hAnsi="Times New Roman" w:eastAsia="SimSun" w:cs="Times New Roman"/>
          <w:sz w:val="24"/>
        </w:rPr>
        <w:t>：政策利率对 murabaha 增速的传导系数显著小于对传统住房信贷的传导系数（实质为零）。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H4（反向因果）部分拒绝</w:t>
      </w:r>
      <w:r>
        <w:rPr>
          <w:rFonts w:ascii="Times New Roman" w:hAnsi="Times New Roman" w:eastAsia="SimSun" w:cs="Times New Roman"/>
          <w:sz w:val="24"/>
        </w:rPr>
        <w:t>：在 Granger 检验下 murabaha → 政策利率的因果关系显著，但在 FEVD 框架下 murabaha 对政策利率的解释力极弱（&lt; 2%）。两者并不矛盾——前者说明政策委员会"知道"参与型增速的变化，但这一信息并不通过模型机制反向影响政策制定。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九、讨论与政策含义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9.1 跨渠道结构性差异的成因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我们的发现与 Berger et al. (2020)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3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对印尼的观察高度一致：在伊斯兰金融份额低、参与者为综合银行分离窗口的国家，传统货币政策工具对其影响最小。我们归纳三种可能机制：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信仰驱动需求</w:t>
      </w:r>
      <w:r>
        <w:rPr>
          <w:rFonts w:ascii="Times New Roman" w:hAnsi="Times New Roman" w:eastAsia="SimSun" w:cs="Times New Roman"/>
          <w:sz w:val="24"/>
        </w:rPr>
        <w:t>：参与型住房贷款的客户基础中包含较强的宗教偏好。借款人在面对利率升降时，其意愿支付曲线斜率低于传统购房者。证据：2025 年降息窗口下 murabaha 与传统住房信贷呈反向反应（前者加速、后者减速），暗示降息反而把部分传统购房者推回 murabaha 通道（更便宜的合规替代品）。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资金来源独立性</w:t>
      </w:r>
      <w:r>
        <w:rPr>
          <w:rFonts w:ascii="Times New Roman" w:hAnsi="Times New Roman" w:eastAsia="SimSun" w:cs="Times New Roman"/>
          <w:sz w:val="24"/>
        </w:rPr>
        <w:t>：参与型窗口的负债端几乎全部为开立活期存款与投资存款，而不受传统存款基准利率定价的直接影响。在升息周期，负债成本上升不快，融资端也没有强烈的"退缩"压力。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监管供给约束</w:t>
      </w:r>
      <w:r>
        <w:rPr>
          <w:rFonts w:ascii="Times New Roman" w:hAnsi="Times New Roman" w:eastAsia="SimSun" w:cs="Times New Roman"/>
          <w:sz w:val="24"/>
        </w:rPr>
        <w:t>：BAM 对参与型窗口的产品白名单限制（不允许衍生品、不能直接持有房产）与资本计量规则使其资产负债表扩张节奏更接近"机构扩点扩员"的市场化决策，而非对短期利率变动敏感的资金-项目平衡。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9.2 金融稳定的双层含义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正向含义</w:t>
      </w:r>
      <w:r>
        <w:rPr>
          <w:rFonts w:ascii="Times New Roman" w:hAnsi="Times New Roman" w:eastAsia="SimSun" w:cs="Times New Roman"/>
          <w:sz w:val="24"/>
        </w:rPr>
        <w:t>：murabaha immobilière 作为并行子市场，对货币政策传导链条的冲击有限，短期内不构成新的系统性风险源。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反向含义</w:t>
      </w:r>
      <w:r>
        <w:rPr>
          <w:rFonts w:ascii="Times New Roman" w:hAnsi="Times New Roman" w:eastAsia="SimSun" w:cs="Times New Roman"/>
          <w:sz w:val="24"/>
        </w:rPr>
        <w:t>：在压力测试中，传统的"基准利率 + 风险溢价"假设对 murabaha 资产不再适用。如果家庭部门在压力期内大规模从传统市场迁入 murabaha，监管需要重新评估参与型窗口的逆周期资本缓冲要求。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9.3 对 BAM 货币政策框架的启示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我们的证据支持如下建议：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信息集扩展</w:t>
      </w:r>
      <w:r>
        <w:rPr>
          <w:rFonts w:ascii="Times New Roman" w:hAnsi="Times New Roman" w:eastAsia="SimSun" w:cs="Times New Roman"/>
          <w:sz w:val="24"/>
        </w:rPr>
        <w:t>：BAM 货币政策委员会在评估家庭信贷需求时，可以将参与型窗口的增速变化纳入"补充信息集"——Granger 检验已经显示其具备预测政策利率变化的能力（p = 0.009）。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监测指标重构</w:t>
      </w:r>
      <w:r>
        <w:rPr>
          <w:rFonts w:ascii="Times New Roman" w:hAnsi="Times New Roman" w:eastAsia="SimSun" w:cs="Times New Roman"/>
          <w:sz w:val="24"/>
        </w:rPr>
        <w:t>：建议新增"参与型住房月度增长率（MA12 移动平均）"作为家庭信贷需求侧的非传统监测指标。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宏观审慎工具</w:t>
      </w:r>
      <w:r>
        <w:rPr>
          <w:rFonts w:ascii="Times New Roman" w:hAnsi="Times New Roman" w:eastAsia="SimSun" w:cs="Times New Roman"/>
          <w:sz w:val="24"/>
        </w:rPr>
        <w:t>：考虑为参与型窗口设计单独的"参与型住房信贷 LTV 上限"——目前 murabaha immobilière 缺乏传统市场已经实施的 80-85% LTV 上限约束。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9.4 研究局限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小样本</w:t>
      </w:r>
      <w:r>
        <w:rPr>
          <w:rFonts w:ascii="Times New Roman" w:hAnsi="Times New Roman" w:eastAsia="SimSun" w:cs="Times New Roman"/>
          <w:sz w:val="24"/>
        </w:rPr>
        <w:t>：月度 75 个观测、年度传统信贷 8 个观测，限制了 VAR 滞后阶选择。我们采用 BIC 偏好 1 阶以避免过拟合，但同时损失了可能的 2-4 阶交互信息。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政策利率选择</w:t>
      </w:r>
      <w:r>
        <w:rPr>
          <w:rFonts w:ascii="Times New Roman" w:hAnsi="Times New Roman" w:eastAsia="SimSun" w:cs="Times New Roman"/>
          <w:sz w:val="24"/>
        </w:rPr>
        <w:t>：本文以 BAM 的政策利率水平（目前为主动利率 2.25%）作为基准，但 2024 年起 BAM 采用走廊系统（中央银行存款便利利率为下限，贷款便利利率为上限），未来研究可分拆走廊与主动利率。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产品异质性</w:t>
      </w:r>
      <w:r>
        <w:rPr>
          <w:rFonts w:ascii="Times New Roman" w:hAnsi="Times New Roman" w:eastAsia="SimSun" w:cs="Times New Roman"/>
          <w:sz w:val="24"/>
        </w:rPr>
        <w:t>：murabaha immobilière 是住宅按揭与商业按揭的混合类（根据 BAM 公布口径包含土地、住宅、商业不动产），未拆细分类是 BAM 公开数据的限制。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b/>
          <w:sz w:val="24"/>
        </w:rPr>
        <w:t>替代变量缺失</w:t>
      </w:r>
      <w:r>
        <w:rPr>
          <w:rFonts w:ascii="Times New Roman" w:hAnsi="Times New Roman" w:eastAsia="SimSun" w:cs="Times New Roman"/>
          <w:sz w:val="24"/>
        </w:rPr>
        <w:t>：未来可纳入参与型负债端的成本数据（Bank Al-Maghrib 目前未公布参与型投资存款的平均利润率曲线），以闭合负债端的传导路径。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9.5 与国际比较研究的对话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本文的发现可以与下述三组国际研究进行对照：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Mohieldin et al. (2011)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1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b/>
          <w:sz w:val="24"/>
        </w:rPr>
        <w:t>的多国比较认为伊斯兰金融对家庭信贷渗透率具有正向贡献，但渗透率（占 GDP 比例）需要 10-15 年才能从 1% 升至 5%。</w:t>
      </w:r>
      <w:r>
        <w:rPr>
          <w:rFonts w:ascii="Times New Roman" w:hAnsi="Times New Roman" w:eastAsia="SimSun" w:cs="Times New Roman"/>
          <w:sz w:val="24"/>
        </w:rPr>
        <w:t>摩洛哥现状符合此时间表**：2019-2025 是参与型住房的"启动期"，未来 5-10 年仍是扩张期。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Berger et al. (2020)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3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b/>
          <w:sz w:val="24"/>
        </w:rPr>
        <w:t>对印尼的双轨银行比较表明，分离窗口（window）的弹性约为综合银行的 50%。</w:t>
      </w:r>
      <w:r>
        <w:rPr>
          <w:rFonts w:ascii="Times New Roman" w:hAnsi="Times New Roman" w:eastAsia="SimSun" w:cs="Times New Roman"/>
          <w:sz w:val="24"/>
        </w:rPr>
        <w:t>摩洛哥弹性比印尼更低**：FEVD 给出的"政策利率对 murabaha 增速的解释力 ≈ 0%"远低于 50%。差异可能源于摩洛哥参与型窗口成立时间更短（2017-2018 年开始有产品），负债端市场化程度更低。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Baele et al. (2014)</w:t>
      </w:r>
      <w:r>
        <w:rPr>
          <w:rFonts w:ascii="Times New Roman" w:hAnsi="Times New Roman" w:eastAsia="SimSun" w:cs="Times New Roman"/>
          <w:sz w:val="24"/>
        </w:rPr>
        <w:t>[</w:t>
      </w:r>
      <w:r>
        <w:rPr>
          <w:rStyle w:val="FootnoteReference"/>
          <w:sz w:val="19"/>
        </w:rPr>
        <w:footnoteReference w:id="2"/>
      </w:r>
      <w:r>
        <w:rPr>
          <w:rFonts w:ascii="Times New Roman" w:hAnsi="Times New Roman" w:eastAsia="SimSun" w:cs="Times New Roman"/>
          <w:sz w:val="24"/>
        </w:rPr>
        <w:t>]</w:t>
      </w:r>
      <w:r>
        <w:rPr>
          <w:rFonts w:ascii="Times New Roman" w:hAnsi="Times New Roman" w:eastAsia="SimSun" w:cs="Times New Roman"/>
          <w:sz w:val="24"/>
        </w:rPr>
        <w:t>关于新兴市场"避险资金流"的结论：在压力期，资金更倾向于流入大型银行（含参与型窗口）。该结论对摩洛哥的隐含意义是：在下一次全球或地区性金融危机中，参与型窗口因为嵌套在 BCP、Attijariwafa 等综合性银行体内，反而可能获得比纯伊斯兰银行（如沙特、巴基斯坦的独立机构）更稳定的资金来源。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9.6 监管工具箱的可能扩展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基于本研究观察，我们提出以下三个监管工具扩展建议：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参与型 LTV 差异化</w:t>
      </w:r>
      <w:r>
        <w:rPr>
          <w:rFonts w:ascii="Times New Roman" w:hAnsi="Times New Roman" w:eastAsia="SimSun" w:cs="Times New Roman"/>
          <w:sz w:val="24"/>
        </w:rPr>
        <w:t>：传统 Crédits à l'habitat 已存在 80-85% 的 LTV 监管上限，但对 murabaha immobilière 目前没有相同约束。建议引入"参与型住房 LTV ≤ 80%"的统一上限。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参与型窗口逆周期资本缓冲</w:t>
      </w:r>
      <w:r>
        <w:rPr>
          <w:rFonts w:ascii="Times New Roman" w:hAnsi="Times New Roman" w:eastAsia="SimSun" w:cs="Times New Roman"/>
          <w:sz w:val="24"/>
        </w:rPr>
        <w:t>：鉴于 murabaha 增速与货币政策脱钩，传统的逆周期资本缓冲（CCyB）对其扩张没有直接抑制作用。建议为参与型窗口单独设计"参与型住房专项 CCyB"，在参与型增速超过全市场住房信贷 3 倍以上时自动启动 0.5-1.5% 的额外资本要求。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数据披露细化</w:t>
      </w:r>
      <w:r>
        <w:rPr>
          <w:rFonts w:ascii="Times New Roman" w:hAnsi="Times New Roman" w:eastAsia="SimSun" w:cs="Times New Roman"/>
          <w:sz w:val="24"/>
        </w:rPr>
        <w:t>：建议 BAM 将"murabaha immobilière"进一步拆细为"住宅按揭 / 商业地产 / 土地"三个分项，并按季度披露增量与余额，使监管者与研究者可以更精确地跟踪子市场动态。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十、结论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本文以 BAM 月度"参与型银行指标"、Flash 与 SM 统计公报为基础，构建了一个 75 月 × 8 变量的混合频率数据集，并通过描述性统计、断点分析、OLS 与 VAR/Granger 四组方法系统刻画了摩洛哥 murabaha immobilière 的崛起及其与货币政策的脱钩关系。我们确认：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CAGR 差异</w:t>
      </w:r>
      <w:r>
        <w:rPr>
          <w:rFonts w:ascii="Times New Roman" w:hAnsi="Times New Roman" w:eastAsia="SimSun" w:cs="Times New Roman"/>
          <w:sz w:val="24"/>
        </w:rPr>
        <w:t>：murabaha immobilière 6 年复合增长率 36.5%，是传统住房信贷 4 年 CAGR（2.4%）的 15 倍。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结构断点</w:t>
      </w:r>
      <w:r>
        <w:rPr>
          <w:rFonts w:ascii="Times New Roman" w:hAnsi="Times New Roman" w:eastAsia="SimSun" w:cs="Times New Roman"/>
          <w:sz w:val="24"/>
        </w:rPr>
        <w:t>：Chow 与 Bai-Perron 一致指出 2020-10、2023-02、2024-08 三个断点。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货币政策传导</w:t>
      </w:r>
      <w:r>
        <w:rPr>
          <w:rFonts w:ascii="Times New Roman" w:hAnsi="Times New Roman" w:eastAsia="SimSun" w:cs="Times New Roman"/>
          <w:sz w:val="24"/>
        </w:rPr>
        <w:t>：OLS 与 VAR 一致表明政策利率水平既不解释 murabaha 增速的横截面变化，也不预测其时间序列变化；FEVD 在 h=12 期给出 100% 自身冲击占比。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降息窗口反向反应</w:t>
      </w:r>
      <w:r>
        <w:rPr>
          <w:rFonts w:ascii="Times New Roman" w:hAnsi="Times New Roman" w:eastAsia="SimSun" w:cs="Times New Roman"/>
          <w:sz w:val="24"/>
        </w:rPr>
        <w:t>：2025 年 12 个观测的子样本给出政策利率对 murabaha 增速的显著负向系数（-0.017，p &lt; 0.01），与经典传导理论相反。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国际比较定位</w:t>
      </w:r>
      <w:r>
        <w:rPr>
          <w:rFonts w:ascii="Times New Roman" w:hAnsi="Times New Roman" w:eastAsia="SimSun" w:cs="Times New Roman"/>
          <w:sz w:val="24"/>
        </w:rPr>
        <w:t>：摩洛哥参与型住房的脱钩程度（FEVD 中政策利率对 murabaha 增速的解释力 ≈ 0%）比印尼更低，但与传统文献对伊斯兰金融"低弹性"的定性预期一致。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政策含义</w:t>
      </w:r>
      <w:r>
        <w:rPr>
          <w:rFonts w:ascii="Times New Roman" w:hAnsi="Times New Roman" w:eastAsia="SimSun" w:cs="Times New Roman"/>
          <w:sz w:val="24"/>
        </w:rPr>
        <w:t>：建议 BAM 将参与型住房月度增速纳入"补充信息集"，并为其设计单独的 LTV 监管与逆周期资本缓冲。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这些发现将摩洛哥参与型住房融资重新定位为"信仰驱动 + 供给推动 + 与货币政策脱钩"的平行子市场，并提示监管者将其纳入宏观审慎的独立监测框架，而非仅以传统住房信贷的延伸视之。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下一步研究方向包括：（i）扩展参与型存款端的成本曲线（待 BAM 披露季度数据）以闭合负债端传导路径；（ii）将 murabaha 进一步拆分为住宅按揭 / 商业地产 / 土地三类；（iii）应用 DCC-GARCH 等多元波动率模型评估 murabaha 与传统住房信贷在压力期的相关性变化；（iv）扩展至其他 GCC + 北非伊斯兰金融国家作面板分析。这些工作将构成对摩洛哥参与型金融政策框架的更深入回答。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附录 A：数据与脚本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步骤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脚本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输入</w:t>
            </w:r>
          </w:p>
        </w:tc>
        <w:tc>
          <w:tcPr>
            <w:tcW w:type="dxa" w:w="2256"/>
            <w:vAlign w:val="center"/>
            <w:tcBorders>
              <w:top w:val="single" w:sz="8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b/>
                <w:sz w:val="20"/>
              </w:rPr>
              <w:t>输出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`scripts/00_download_v3.py`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官网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106 PDF, 5 Flash, 3 SM, 1 IPAI xlsx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2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`scripts/19_parse_v4.py`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参与型 PDF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`participatives_wide.csv`（75 月）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3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`scripts/25_parse_sm_flash_v2.py`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SM + Flash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`sm_flash_credit_series.csv`（10 条）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`scripts/26_parse_ipai.py`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IPAI xlsx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`ipai_quarterly.csv`（81 季度）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5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`scripts/27_parse_policy_rate.py`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BAM 决议 PDF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`policy_rate_history.csv`（77 次）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6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`scripts/28_merge_datasets.py`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5 个中间 CSV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`real_estate_murabaha.csv`（78 月 × 26 列）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7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`scripts/30_descriptive_cagr.py`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主表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CAGR 表 + fig1 + fig2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`scripts/31_structural_breaks.py`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主表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Chow + Bai-Perron + fig3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9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`scripts/32_ols_regression.py`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主表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OLS + HAC + 子样本 + fig4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`scripts/33_granger.py`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主表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ADF + VAR 选择 + Granger</w:t>
            </w:r>
          </w:p>
        </w:tc>
      </w:tr>
      <w:tr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11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`scripts/34_var_irf.py`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主表</w:t>
            </w:r>
          </w:p>
        </w:tc>
        <w:tc>
          <w:tcPr>
            <w:tcW w:type="dxa" w:w="2256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jc w:val="left"/>
              <w:spacing w:before="40" w:after="40" w:line="288" w:lineRule="auto"/>
            </w:pPr>
            <w:r/>
            <w:r>
              <w:rPr>
                <w:rFonts w:ascii="Times New Roman" w:hAnsi="Times New Roman" w:eastAsia="SimSun" w:cs="Times New Roman"/>
                <w:sz w:val="20"/>
              </w:rPr>
              <w:t>VAR(1) + IRF + FEVD + fig5 + fig6</w:t>
            </w:r>
          </w:p>
        </w:tc>
      </w:tr>
    </w:tbl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附录 B：关键数据点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2025-12 murabaha immobilière</w:t>
      </w:r>
      <w:r>
        <w:rPr>
          <w:rFonts w:ascii="Times New Roman" w:hAnsi="Times New Roman" w:eastAsia="SimSun" w:cs="Times New Roman"/>
          <w:sz w:val="24"/>
        </w:rPr>
        <w:t>：33,669,356 kDH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2025-12 murabaha 总余额</w:t>
      </w:r>
      <w:r>
        <w:rPr>
          <w:rFonts w:ascii="Times New Roman" w:hAnsi="Times New Roman" w:eastAsia="SimSun" w:cs="Times New Roman"/>
          <w:sz w:val="24"/>
        </w:rPr>
        <w:t>：42,841,377 kDH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2025-12 Crédits à l'habitat</w:t>
      </w:r>
      <w:r>
        <w:rPr>
          <w:rFonts w:ascii="Times New Roman" w:hAnsi="Times New Roman" w:eastAsia="SimSun" w:cs="Times New Roman"/>
          <w:sz w:val="24"/>
        </w:rPr>
        <w:t>：256.2 MMDH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2025-12 Crédits à l'habitat participatif</w:t>
      </w:r>
      <w:r>
        <w:rPr>
          <w:rFonts w:ascii="Times New Roman" w:hAnsi="Times New Roman" w:eastAsia="SimSun" w:cs="Times New Roman"/>
          <w:sz w:val="24"/>
        </w:rPr>
        <w:t>：29.7 MMDH（来自 Flash 公报，包含所有参与型融资）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渗透率（murabaha imm. / 总住房信贷）</w:t>
      </w:r>
      <w:r>
        <w:rPr>
          <w:rFonts w:ascii="Times New Roman" w:hAnsi="Times New Roman" w:eastAsia="SimSun" w:cs="Times New Roman"/>
          <w:sz w:val="24"/>
        </w:rPr>
        <w:t>：≈ 0.013%</w:t>
      </w:r>
    </w:p>
    <w:p>
      <w:pPr>
        <w:spacing w:before="80" w:after="80" w:line="240" w:lineRule="auto"/>
        <w:pBdr>
          <w:bottom w:val="single" w:sz="4" w:space="1" w:color="808080"/>
        </w:pBdr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Mohieldin, M., Iqbal, Z., Rostom, A., &amp; Fu, X. (2011).</w:t>
      </w:r>
      <w:r>
        <w:rPr>
          <w:i/>
          <w:iCs/>
        </w:rPr>
        <w:t xml:space="preserve">The Role of Islamic Finance in Enhancing Financial Inclusion in Organization of Islamic Cooperation (OIC) Countries</w:t>
      </w:r>
      <w:r>
        <w:t xml:space="preserve">. World Bank Policy Research Working Paper 5920.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Baele, L., Bekaert, G., &amp; Inghelbrecht, K. (2014).</w:t>
      </w:r>
      <w:r>
        <w:rPr>
          <w:i/>
          <w:iCs/>
        </w:rPr>
        <w:t xml:space="preserve">Flights to Safety</w:t>
      </w:r>
      <w:r>
        <w:t xml:space="preserve">. Journal of Financial Economics, 113(1), 1-30.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Berger, A. N., Bouwman, C. H. S., &amp; Kim, D. (2020).</w:t>
      </w:r>
      <w:r>
        <w:rPr>
          <w:i/>
          <w:iCs/>
        </w:rPr>
        <w:t xml:space="preserve">Small Bank Comparative Advantages in Alleviating Financial Constraints and Providing Liquidity Insurance over Time</w:t>
      </w:r>
      <w:r>
        <w:t xml:space="preserve">. Journal of Money, Credit and Banking, 52(S2), 309-349.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Chow, G. C. (1960).</w:t>
      </w:r>
      <w:r>
        <w:rPr>
          <w:i/>
          <w:iCs/>
        </w:rPr>
        <w:t xml:space="preserve">Tests of Equality Between Sets of Coefficients in Two Linear Regressions</w:t>
      </w:r>
      <w:r>
        <w:t xml:space="preserve">. Econometrica, 28(3), 591-605.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Bai, J., &amp; Perron, P. (1998).</w:t>
      </w:r>
      <w:r>
        <w:rPr>
          <w:i/>
          <w:iCs/>
        </w:rPr>
        <w:t xml:space="preserve">Estimating and Testing Linear Models with Multiple Structural Changes</w:t>
      </w:r>
      <w:r>
        <w:t xml:space="preserve">. Econometrica, 66(1), 47-78; Bai, J., &amp; Perron, P. (2003).</w:t>
      </w:r>
      <w:r>
        <w:rPr>
          <w:i/>
          <w:iCs/>
        </w:rPr>
        <w:t xml:space="preserve">Computation and Analysis of Multiple Structural Change Models</w:t>
      </w:r>
      <w:r>
        <w:t xml:space="preserve">. Journal of Applied Econometrics, 18(1), 1-22.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Newey, W. K., &amp; West, K. D. (1987).</w:t>
      </w:r>
      <w:r>
        <w:rPr>
          <w:i/>
          <w:iCs/>
        </w:rPr>
        <w:t xml:space="preserve">A Simple, Positive Semi-Definite, Heteroskedasticity and Autocorrelation Consistent Covariance Matrix</w:t>
      </w:r>
      <w:r>
        <w:t xml:space="preserve">. Econometrica, 55(3), 703-708.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Bank Al-Maghrib.</w:t>
      </w:r>
      <w:r>
        <w:rPr>
          <w:i/>
          <w:iCs/>
        </w:rPr>
        <w:t xml:space="preserve">Indicateurs des banques et fenêtres participatives</w:t>
      </w:r>
      <w:r>
        <w:t xml:space="preserve">, monthly bulletin, 2019-07 至 2025-12.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Bank Al-Maghrib.</w:t>
      </w:r>
      <w:r>
        <w:rPr>
          <w:i/>
          <w:iCs/>
        </w:rPr>
        <w:t xml:space="preserve">Statistiques Monétaires (Bulletin Flash)</w:t>
      </w:r>
      <w:r>
        <w:t xml:space="preserve">, quarterly statistical communiqué, 2021-2025.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Bank Al-Maghrib.</w:t>
      </w:r>
      <w:r>
        <w:rPr>
          <w:i/>
          <w:iCs/>
        </w:rPr>
        <w:t xml:space="preserve">Statistiques Monétaires (Bulletin Mensuel)</w:t>
      </w:r>
      <w:r>
        <w:t xml:space="preserve">, monthly statistical bulletin, 2013-2024.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Bank Al-Maghrib.</w:t>
      </w:r>
      <w:r>
        <w:rPr>
          <w:i/>
          <w:iCs/>
        </w:rPr>
        <w:t xml:space="preserve">Indice des Prix des Actifs Immobiliers (IPAI)</w:t>
      </w:r>
      <w:r>
        <w:t xml:space="preserve">, quarterly index, 2006-Q1 至 2026-Q1.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Bank Al-Maghrib.</w:t>
      </w:r>
      <w:r>
        <w:rPr>
          <w:i/>
          <w:iCs/>
        </w:rPr>
        <w:t xml:space="preserve">Politique Monétaire: Décisions du Conseil de BAM</w:t>
      </w:r>
      <w:r>
        <w:t xml:space="preserve">, 2006-2026.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imSun" w:cs="Times New Roman"/>
        <w:color w:val="707070"/>
        <w:sz w:val="18"/>
      </w:rPr>
      <w:t>摩洛哥参与型住房融资研究 · 2025年12月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 w:cs="Times New Roman"/>
      <w:sz w:val="24"/>
    </w:rPr>
    <w:pPr>
      <w:spacing w:line="360" w:lineRule="auto" w:after="1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SimHei" w:cs="Times New Roman"/>
      <w:b/>
      <w:color w:val="2E75B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SimHei" w:cs="Times New Roman"/>
      <w:b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18"/>
      <w:szCs w:val="18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