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Relationship Id="rId2" Type="http://schemas.openxmlformats.org/package/2006/relationships/metadata/core-properties" Target="docProps/core.xml"/>
<Relationship Id="rId3" Type="http://schemas.openxmlformats.org/officeDocument/2006/relationships/extended-properties" Target="docProps/app.xml"/>
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Title"/>
        <w:jc w:val="center"/>
      </w:pPr>
      <w:r>
        <w:t xml:space="preserve">第六章实验报告</w:t>
      </w:r>
    </w:p>
    <w:p>
      <w:pPr>
        <w:jc w:val="center"/>
      </w:pPr>
      <w:r>
        <w:t xml:space="preserve">实验题目：基于 Verilog 的内积、矩阵乘向量与矩阵乘矩阵运算器设计与仿真</w:t>
      </w:r>
    </w:p>
    <w:p>
      <w:pPr>
        <w:jc w:val="center"/>
      </w:pPr>
      <w:r>
        <w:t xml:space="preserve">姓名：__________    学号：__________    班级：__________    日期：__________</w:t>
      </w:r>
    </w:p>
    <w:p/>
    <w:p>
      <w:pPr>
        <w:pStyle w:val="Heading1"/>
      </w:pPr>
      <w:r>
        <w:t xml:space="preserve">一、实验目的</w:t>
      </w:r>
    </w:p>
    <w:p>
      <w:pPr>
        <w:pStyle w:val="ListBullet"/>
      </w:pPr>
      <w:r>
        <w:t xml:space="preserve">• 理解深度学习处理器中内积、矩阵乘向量、矩阵乘矩阵三类基础运算的硬件实现方式。</w:t>
      </w:r>
    </w:p>
    <w:p>
      <w:pPr>
        <w:pStyle w:val="ListBullet"/>
      </w:pPr>
      <w:r>
        <w:t xml:space="preserve">• 掌握使用 Verilog 通过模块例化构建层次化计算单元的方法。</w:t>
      </w:r>
    </w:p>
    <w:p>
      <w:pPr>
        <w:pStyle w:val="ListBullet"/>
      </w:pPr>
      <w:r>
        <w:t xml:space="preserve">• 掌握基于 Verilator 的编译、运行和 GTKWave 波形查看流程。</w:t>
      </w:r>
    </w:p>
    <w:p>
      <w:pPr>
        <w:pStyle w:val="ListBullet"/>
      </w:pPr>
      <w:r>
        <w:t xml:space="preserve">• 通过多组不同维度输入数据进行对照实验，验证矩阵乘向量模块在不同规模下的正确性。</w:t>
      </w:r>
    </w:p>
    <w:p>
      <w:pPr>
        <w:pStyle w:val="Heading1"/>
      </w:pPr>
      <w:r>
        <w:t xml:space="preserve">二、实验环境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</w:tcPr>
          <w:p>
            <w:r>
              <w:t xml:space="preserve">项目</w:t>
            </w:r>
          </w:p>
        </w:tc>
        <w:tc>
          <w:tcPr>
            <w:tcW w:w="2400" w:type="dxa"/>
          </w:tcPr>
          <w:p>
            <w:r>
              <w:t xml:space="preserve">内容</w:t>
            </w:r>
          </w:p>
        </w:tc>
      </w:tr>
      <w:tr>
        <w:tc>
          <w:tcPr>
            <w:tcW w:w="2400" w:type="dxa"/>
          </w:tcPr>
          <w:p>
            <w:r>
              <w:t xml:space="preserve">操作环境</w:t>
            </w:r>
          </w:p>
        </w:tc>
        <w:tc>
          <w:tcPr>
            <w:tcW w:w="2400" w:type="dxa"/>
          </w:tcPr>
          <w:p>
            <w:r>
              <w:t xml:space="preserve">Windows + VSCode Remote WSL / Ubuntu 22.04</w:t>
            </w:r>
          </w:p>
        </w:tc>
      </w:tr>
      <w:tr>
        <w:tc>
          <w:tcPr>
            <w:tcW w:w="2400" w:type="dxa"/>
          </w:tcPr>
          <w:p>
            <w:r>
              <w:t xml:space="preserve">仿真工具</w:t>
            </w:r>
          </w:p>
        </w:tc>
        <w:tc>
          <w:tcPr>
            <w:tcW w:w="2400" w:type="dxa"/>
          </w:tcPr>
          <w:p>
            <w:r>
              <w:t xml:space="preserve">Verilator、GTKWave</w:t>
            </w:r>
          </w:p>
        </w:tc>
      </w:tr>
      <w:tr>
        <w:tc>
          <w:tcPr>
            <w:tcW w:w="2400" w:type="dxa"/>
          </w:tcPr>
          <w:p>
            <w:r>
              <w:t xml:space="preserve">源码目录</w:t>
            </w:r>
          </w:p>
        </w:tc>
        <w:tc>
          <w:tcPr>
            <w:tcW w:w="2400" w:type="dxa"/>
          </w:tcPr>
          <w:p>
            <w:r>
              <w:t xml:space="preserve">/home/dlp_ex_student/src</w:t>
            </w:r>
          </w:p>
        </w:tc>
      </w:tr>
      <w:tr>
        <w:tc>
          <w:tcPr>
            <w:tcW w:w="2400" w:type="dxa"/>
          </w:tcPr>
          <w:p>
            <w:r>
              <w:t xml:space="preserve">仿真目录</w:t>
            </w:r>
          </w:p>
        </w:tc>
        <w:tc>
          <w:tcPr>
            <w:tcW w:w="2400" w:type="dxa"/>
          </w:tcPr>
          <w:p>
            <w:r>
              <w:t xml:space="preserve">/home/dlp_ex_student/sim</w:t>
            </w:r>
          </w:p>
        </w:tc>
      </w:tr>
      <w:tr>
        <w:tc>
          <w:tcPr>
            <w:tcW w:w="2400" w:type="dxa"/>
          </w:tcPr>
          <w:p>
            <w:r>
              <w:t xml:space="preserve">数据目录</w:t>
            </w:r>
          </w:p>
        </w:tc>
        <w:tc>
          <w:tcPr>
            <w:tcW w:w="2400" w:type="dxa"/>
          </w:tcPr>
          <w:p>
            <w:r>
              <w:t xml:space="preserve">/home/dlp_ex_student/data</w:t>
            </w:r>
          </w:p>
        </w:tc>
      </w:tr>
    </w:tbl>
    <w:p>
      <w:pPr>
        <w:pStyle w:val="Heading1"/>
      </w:pPr>
      <w:r>
        <w:t xml:space="preserve">三、实验原理</w:t>
      </w:r>
    </w:p>
    <w:p>
      <w:r>
        <w:t xml:space="preserve">本实验围绕 DLP 中常见的乘加计算展开。内积模块完成 4 个 16 位有符号输入与 4 个 16 位有符号权重的乘加，输出 32 位有符号结果。矩阵乘向量模块通过并行例化 4 个内积模块实现，每个内积模块负责权重矩阵的一行与输入向量相乘。矩阵乘矩阵模块进一步例化 4 个矩阵乘向量模块，每个模块处理激活矩阵的一行，从而得到 4x4 输出矩阵。</w:t>
      </w:r>
    </w:p>
    <w:p>
      <w:r>
        <w:t xml:space="preserve">测试平台通过 config 指定有效维度。矩阵乘向量实验使用 1、2、3、4 维数据进行对照验证；矩阵乘矩阵实验使用 4x4 单位矩阵进行功能验证。</w:t>
      </w:r>
    </w:p>
    <w:p>
      <w:pPr>
        <w:pStyle w:val="Heading1"/>
      </w:pPr>
      <w:r>
        <w:t xml:space="preserve">四、模块设计与代码补全</w:t>
      </w:r>
    </w:p>
    <w:p>
      <w:pPr>
        <w:pStyle w:val="Heading2"/>
      </w:pPr>
      <w:r>
        <w:t xml:space="preserve">4.1 内积运算器 inner_product_4x16</w:t>
      </w:r>
    </w:p>
    <w:p>
      <w:r>
        <w:t xml:space="preserve">内积模块完成输入寄存、权重寄存和乘加运算。仿真中输入向量为 1、2、3、4，权重为 1、0、0、0，预期输出为 1。</w:t>
      </w:r>
    </w:p>
    <w:p>
      <w:pPr>
        <w:jc w:val="center"/>
      </w:pPr>
      <w:r>
        <w:drawing>
          <wp:inline distT="0" distB="0" distL="0" distR="0">
            <wp:extent cx="2954955" cy="5933974"/>
            <wp:effectExtent l="0" t="0" r="0" b="0"/>
            <wp:docPr id="43" name="inner_product_4x16运行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ner_product_4x16运行截图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954955" cy="593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图1 inner_product_4x16 运行结果截图</w:t>
      </w:r>
    </w:p>
    <w:p>
      <w:pPr>
        <w:jc w:val="center"/>
      </w:pPr>
      <w:r>
        <w:drawing>
          <wp:inline distT="0" distB="0" distL="0" distR="0">
            <wp:extent cx="5669280" cy="3041332"/>
            <wp:effectExtent l="0" t="0" r="0" b="0"/>
            <wp:docPr id="45" name="inner_product_4x16仿真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ner_product_4x16仿真截图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图2 inner_product_4x16 GTKWave 仿真波形截图</w:t>
      </w:r>
    </w:p>
    <w:p>
      <w:pPr>
        <w:pStyle w:val="Heading2"/>
      </w:pPr>
      <w:r>
        <w:t xml:space="preserve">4.2 矩阵乘向量 matrix_vector_mult_4x4x16</w:t>
      </w:r>
    </w:p>
    <w:p>
      <w:r>
        <w:t xml:space="preserve">该模块补全的核心是例化 4 个 inner_product_4x16 单元。四个单元共用同一个 activations 输入向量，分别连接 weights[0] 到 weights[3]，输出分别连接 results[0] 到 results[3]。</w:t>
      </w:r>
    </w:p>
    <w:p>
      <w:pPr>
        <w:pStyle w:val="Code"/>
      </w:pPr>
      <w:r>
        <w:rPr>
          <w:rFonts w:ascii="Consolas" w:hAnsi="Consolas"/>
          <w:sz w:val="19"/>
        </w:rPr>
        <w:t xml:space="preserve">inner_product_4x16 ipu0 (... .activations(activations), .weights(weights[0]), .result(results[0]));</w:t>
      </w:r>
    </w:p>
    <w:p>
      <w:pPr>
        <w:pStyle w:val="Code"/>
      </w:pPr>
      <w:r>
        <w:rPr>
          <w:rFonts w:ascii="Consolas" w:hAnsi="Consolas"/>
          <w:sz w:val="19"/>
        </w:rPr>
        <w:t xml:space="preserve">inner_product_4x16 ipu1 (... .activations(activations), .weights(weights[1]), .result(results[1]));</w:t>
      </w:r>
    </w:p>
    <w:p>
      <w:pPr>
        <w:pStyle w:val="Code"/>
      </w:pPr>
      <w:r>
        <w:rPr>
          <w:rFonts w:ascii="Consolas" w:hAnsi="Consolas"/>
          <w:sz w:val="19"/>
        </w:rPr>
        <w:t xml:space="preserve">inner_product_4x16 ipu2 (... .activations(activations), .weights(weights[2]), .result(results[2]));</w:t>
      </w:r>
    </w:p>
    <w:p>
      <w:pPr>
        <w:pStyle w:val="Code"/>
      </w:pPr>
      <w:r>
        <w:rPr>
          <w:rFonts w:ascii="Consolas" w:hAnsi="Consolas"/>
          <w:sz w:val="19"/>
        </w:rPr>
        <w:t xml:space="preserve">inner_product_4x16 ipu3 (... .activations(activations), .weights(weights[3]), .result(results[3]));</w:t>
      </w:r>
    </w:p>
    <w:p>
      <w:pPr>
        <w:jc w:val="center"/>
      </w:pPr>
      <w:r>
        <w:drawing>
          <wp:inline distT="0" distB="0" distL="0" distR="0">
            <wp:extent cx="3532471" cy="6150543"/>
            <wp:effectExtent l="0" t="0" r="0" b="0"/>
            <wp:docPr id="53" name="matrix_vector_mult_4x4x16补全代码后的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vector_mult_4x4x16补全代码后的截图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532471" cy="615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图3 matrix_vector_mult_4x4x16 补全代码截图</w:t>
      </w:r>
    </w:p>
    <w:p>
      <w:pPr>
        <w:pStyle w:val="Heading2"/>
      </w:pPr>
      <w:r>
        <w:t xml:space="preserve">4.3 矩阵乘矩阵 matrix_mult_4x4x4x16</w:t>
      </w:r>
    </w:p>
    <w:p>
      <w:r>
        <w:t xml:space="preserve">矩阵乘矩阵模块补全时例化 4 个 matrix_vector_mult_4x4x16 单元。每个单元连接激活矩阵的一行 activations[i]，共享同一个 weights 矩阵，并将输出连接到 results[i]。</w:t>
      </w:r>
    </w:p>
    <w:p>
      <w:pPr>
        <w:pStyle w:val="Code"/>
      </w:pPr>
      <w:r>
        <w:rPr>
          <w:rFonts w:ascii="Consolas" w:hAnsi="Consolas"/>
          <w:sz w:val="19"/>
        </w:rPr>
        <w:t xml:space="preserve">matrix_vector_mult_4x4x16 mxv0 (... .activations(activations[0]), .weights(weights), .results(results[0]));</w:t>
      </w:r>
    </w:p>
    <w:p>
      <w:pPr>
        <w:pStyle w:val="Code"/>
      </w:pPr>
      <w:r>
        <w:rPr>
          <w:rFonts w:ascii="Consolas" w:hAnsi="Consolas"/>
          <w:sz w:val="19"/>
        </w:rPr>
        <w:t xml:space="preserve">matrix_vector_mult_4x4x16 mxv1 (... .activations(activations[1]), .weights(weights), .results(results[1]));</w:t>
      </w:r>
    </w:p>
    <w:p>
      <w:pPr>
        <w:pStyle w:val="Code"/>
      </w:pPr>
      <w:r>
        <w:rPr>
          <w:rFonts w:ascii="Consolas" w:hAnsi="Consolas"/>
          <w:sz w:val="19"/>
        </w:rPr>
        <w:t xml:space="preserve">matrix_vector_mult_4x4x16 mxv2 (... .activations(activations[2]), .weights(weights), .results(results[2]));</w:t>
      </w:r>
    </w:p>
    <w:p>
      <w:pPr>
        <w:pStyle w:val="Code"/>
      </w:pPr>
      <w:r>
        <w:rPr>
          <w:rFonts w:ascii="Consolas" w:hAnsi="Consolas"/>
          <w:sz w:val="19"/>
        </w:rPr>
        <w:t xml:space="preserve">matrix_vector_mult_4x4x16 mxv3 (... .activations(activations[3]), .weights(weights), .results(results[3]));</w:t>
      </w:r>
    </w:p>
    <w:p>
      <w:pPr>
        <w:jc w:val="center"/>
      </w:pPr>
      <w:r>
        <w:drawing>
          <wp:inline distT="0" distB="0" distL="0" distR="0">
            <wp:extent cx="3984858" cy="5962850"/>
            <wp:effectExtent l="0" t="0" r="0" b="0"/>
            <wp:docPr id="61" name="matrix_mult_4x4x4x16补全代码后的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mult_4x4x4x16补全代码后的截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4858" cy="596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图4 matrix_mult_4x4x4x16 补全代码截图</w:t>
      </w:r>
    </w:p>
    <w:p>
      <w:pPr>
        <w:pStyle w:val="Heading1"/>
      </w:pPr>
      <w:r>
        <w:t xml:space="preserve">五、实验步骤</w:t>
      </w:r>
    </w:p>
    <w:p>
      <w:pPr>
        <w:pStyle w:val="ListBullet"/>
      </w:pPr>
      <w:r>
        <w:t xml:space="preserve">• 在 VSCode 中连接 WSL，并进入 /home/dlp_ex_student/sim 目录。</w:t>
      </w:r>
    </w:p>
    <w:p>
      <w:pPr>
        <w:pStyle w:val="ListBullet"/>
      </w:pPr>
      <w:r>
        <w:t xml:space="preserve">• 分别编译 inner_product_4x16、matrix_vector_mult_4x4x16、matrix_mult_4x4x4x16 三个模块。</w:t>
      </w:r>
    </w:p>
    <w:p>
      <w:pPr>
        <w:pStyle w:val="ListBullet"/>
      </w:pPr>
      <w:r>
        <w:t xml:space="preserve">• 运行 obj_dir 下生成的可执行文件，观察终端输出的实际结果、预期结果与通过情况。</w:t>
      </w:r>
    </w:p>
    <w:p>
      <w:pPr>
        <w:pStyle w:val="ListBullet"/>
      </w:pPr>
      <w:r>
        <w:t xml:space="preserve">• 使用 GTKWave 打开对应的 vcd 文件，观察输入、寄存器、enable、reset、result 等信号变化。</w:t>
      </w:r>
    </w:p>
    <w:p>
      <w:pPr>
        <w:pStyle w:val="ListBullet"/>
      </w:pPr>
      <w:r>
        <w:t xml:space="preserve">• 针对 matrix_vector_mult_4x4x16 准备四组 1/2/3/4 维对照数据，分别运行并记录结果。</w:t>
      </w:r>
    </w:p>
    <w:p>
      <w:pPr>
        <w:pStyle w:val="Heading1"/>
      </w:pPr>
      <w:r>
        <w:t xml:space="preserve">六、实验数据与结果</w:t>
      </w:r>
    </w:p>
    <w:p>
      <w:pPr>
        <w:pStyle w:val="Heading2"/>
      </w:pPr>
      <w:r>
        <w:t xml:space="preserve">6.1 内积运算器实验结果</w:t>
      </w:r>
    </w:p>
    <w:p>
      <w:r>
        <w:t xml:space="preserve">内积实验中，输入向量为 [1, 2, 3, 4]，权重向量为 [1, 0, 0, 0]，理论输出为 1。运行结果显示实际值为 1，预期值为 1，验证通过。</w:t>
      </w:r>
    </w:p>
    <w:p>
      <w:pPr>
        <w:pStyle w:val="Heading2"/>
      </w:pPr>
      <w:r>
        <w:t xml:space="preserve">6.2 矩阵乘向量四组对照实验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r>
        <w:tc>
          <w:tcPr>
            <w:tcW w:w="2400" w:type="dxa"/>
          </w:tcPr>
          <w:p>
            <w:r>
              <w:t xml:space="preserve">组别</w:t>
            </w:r>
          </w:p>
        </w:tc>
        <w:tc>
          <w:tcPr>
            <w:tcW w:w="2400" w:type="dxa"/>
          </w:tcPr>
          <w:p>
            <w:r>
              <w:t xml:space="preserve">维度</w:t>
            </w:r>
          </w:p>
        </w:tc>
        <w:tc>
          <w:tcPr>
            <w:tcW w:w="2400" w:type="dxa"/>
          </w:tcPr>
          <w:p>
            <w:r>
              <w:t xml:space="preserve">输入向量</w:t>
            </w:r>
          </w:p>
        </w:tc>
        <w:tc>
          <w:tcPr>
            <w:tcW w:w="2400" w:type="dxa"/>
          </w:tcPr>
          <w:p>
            <w:r>
              <w:t xml:space="preserve">预期结果</w:t>
            </w:r>
          </w:p>
        </w:tc>
        <w:tc>
          <w:tcPr>
            <w:tcW w:w="2400" w:type="dxa"/>
          </w:tcPr>
          <w:p>
            <w:r>
              <w:t xml:space="preserve">验证情况</w:t>
            </w:r>
          </w:p>
        </w:tc>
      </w:tr>
      <w:tr>
        <w:tc>
          <w:tcPr>
            <w:tcW w:w="2400" w:type="dxa"/>
          </w:tcPr>
          <w:p>
            <w:r>
              <w:t xml:space="preserve">第一组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t xml:space="preserve">[3]</w:t>
            </w:r>
          </w:p>
        </w:tc>
        <w:tc>
          <w:tcPr>
            <w:tcW w:w="2400" w:type="dxa"/>
          </w:tcPr>
          <w:p>
            <w:r>
              <w:t xml:space="preserve">[15]</w:t>
            </w:r>
          </w:p>
        </w:tc>
        <w:tc>
          <w:tcPr>
            <w:tcW w:w="2400" w:type="dxa"/>
          </w:tcPr>
          <w:p>
            <w:r>
              <w:t xml:space="preserve">通过</w:t>
            </w:r>
          </w:p>
        </w:tc>
      </w:tr>
      <w:tr>
        <w:tc>
          <w:tcPr>
            <w:tcW w:w="2400" w:type="dxa"/>
          </w:tcPr>
          <w:p>
            <w:r>
              <w:t xml:space="preserve">第二组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t xml:space="preserve">[1, 2]</w:t>
            </w:r>
          </w:p>
        </w:tc>
        <w:tc>
          <w:tcPr>
            <w:tcW w:w="2400" w:type="dxa"/>
          </w:tcPr>
          <w:p>
            <w:r>
              <w:t xml:space="preserve">[11, 17]</w:t>
            </w:r>
          </w:p>
        </w:tc>
        <w:tc>
          <w:tcPr>
            <w:tcW w:w="2400" w:type="dxa"/>
          </w:tcPr>
          <w:p>
            <w:r>
              <w:t xml:space="preserve">通过</w:t>
            </w:r>
          </w:p>
        </w:tc>
      </w:tr>
      <w:tr>
        <w:tc>
          <w:tcPr>
            <w:tcW w:w="2400" w:type="dxa"/>
          </w:tcPr>
          <w:p>
            <w:r>
              <w:t xml:space="preserve">第三组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t xml:space="preserve">[1, -2, 3]</w:t>
            </w:r>
          </w:p>
        </w:tc>
        <w:tc>
          <w:tcPr>
            <w:tcW w:w="2400" w:type="dxa"/>
          </w:tcPr>
          <w:p>
            <w:r>
              <w:t xml:space="preserve">[5, -3, 4]</w:t>
            </w:r>
          </w:p>
        </w:tc>
        <w:tc>
          <w:tcPr>
            <w:tcW w:w="2400" w:type="dxa"/>
          </w:tcPr>
          <w:p>
            <w:r>
              <w:t xml:space="preserve">通过</w:t>
            </w:r>
          </w:p>
        </w:tc>
      </w:tr>
      <w:tr>
        <w:tc>
          <w:tcPr>
            <w:tcW w:w="2400" w:type="dxa"/>
          </w:tcPr>
          <w:p>
            <w:r>
              <w:t xml:space="preserve">第四组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t xml:space="preserve">[7, 0, -3, 2]</w:t>
            </w:r>
          </w:p>
        </w:tc>
        <w:tc>
          <w:tcPr>
            <w:tcW w:w="2400" w:type="dxa"/>
          </w:tcPr>
          <w:p>
            <w:r>
              <w:t xml:space="preserve">[12, -11, 9, 23]</w:t>
            </w:r>
          </w:p>
        </w:tc>
        <w:tc>
          <w:tcPr>
            <w:tcW w:w="2400" w:type="dxa"/>
          </w:tcPr>
          <w:p>
            <w:r>
              <w:t xml:space="preserve">通过</w:t>
            </w:r>
          </w:p>
        </w:tc>
      </w:tr>
    </w:tbl>
    <w:p>
      <w:pPr>
        <w:pStyle w:val="Heading2"/>
      </w:pPr>
      <w:r>
        <w:t xml:space="preserve">第一组：1 维对照</w:t>
      </w:r>
    </w:p>
    <w:p>
      <w:r>
        <w:t xml:space="preserve">第一组 config 为 1，neuron 为 3，weight 为 5，理论结果为 15。运行结果显示实际结果与预期结果一致。</w:t>
      </w:r>
    </w:p>
    <w:p>
      <w:pPr>
        <w:jc w:val="center"/>
      </w:pPr>
      <w:r>
        <w:drawing>
          <wp:inline distT="0" distB="0" distL="0" distR="0">
            <wp:extent cx="2560320" cy="4186645"/>
            <wp:effectExtent l="0" t="0" r="0" b="0"/>
            <wp:docPr id="112" name="matrix_vector_mult_4x4x16第一组data数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vector_mult_4x4x16第一组data数据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18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图5 第一组 1 维 data 数据截图</w:t>
      </w:r>
    </w:p>
    <w:p>
      <w:pPr>
        <w:jc w:val="center"/>
      </w:pPr>
      <w:r>
        <w:drawing>
          <wp:inline distT="0" distB="0" distL="0" distR="0">
            <wp:extent cx="5317957" cy="1775861"/>
            <wp:effectExtent l="0" t="0" r="0" b="0"/>
            <wp:docPr id="114" name="matrix_vector_mult_4x4x16第一组运行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vector_mult_4x4x16第一组运行截图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7957" cy="177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图6 第一组 1 维运行结果截图</w:t>
      </w:r>
    </w:p>
    <w:p>
      <w:pPr>
        <w:jc w:val="center"/>
      </w:pPr>
      <w:r>
        <w:drawing>
          <wp:inline distT="0" distB="0" distL="0" distR="0">
            <wp:extent cx="5669280" cy="3188000"/>
            <wp:effectExtent l="0" t="0" r="0" b="0"/>
            <wp:docPr id="116" name="matrix_vector_mult_4x4x16第一组仿真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vector_mult_4x4x16第一组仿真截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图7 第一组 1 维仿真波形截图</w:t>
      </w:r>
    </w:p>
    <w:p>
      <w:pPr>
        <w:pStyle w:val="Heading2"/>
      </w:pPr>
      <w:r>
        <w:t xml:space="preserve">第二组：2 维对照</w:t>
      </w:r>
    </w:p>
    <w:p>
      <w:r>
        <w:t xml:space="preserve">第二组 config 为 2，输入向量为 [1, 2]，权重矩阵为 [[3,4],[5,6]]，计算结果为 [11,17]。终端输出中两个结果均通过验证。</w:t>
      </w:r>
    </w:p>
    <w:p>
      <w:pPr>
        <w:jc w:val="center"/>
      </w:pPr>
      <w:r>
        <w:drawing>
          <wp:inline distT="0" distB="0" distL="0" distR="0">
            <wp:extent cx="2560320" cy="5192121"/>
            <wp:effectExtent l="0" t="0" r="0" b="0"/>
            <wp:docPr id="120" name="matrix_vector_mult_4x4x16第二组data数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vector_mult_4x4x16第二组data数据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19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图8 第二组 2 维 data 数据截图</w:t>
      </w:r>
    </w:p>
    <w:p>
      <w:pPr>
        <w:jc w:val="center"/>
      </w:pPr>
      <w:r>
        <w:drawing>
          <wp:inline distT="0" distB="0" distL="0" distR="0">
            <wp:extent cx="5337208" cy="2021305"/>
            <wp:effectExtent l="0" t="0" r="0" b="0"/>
            <wp:docPr id="122" name="matrix_vector_mult_4x4x16第二组运行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vector_mult_4x4x16第二组运行截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7208" cy="20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图9 第二组 2 维运行结果截图</w:t>
      </w:r>
    </w:p>
    <w:p>
      <w:pPr>
        <w:jc w:val="center"/>
      </w:pPr>
      <w:r>
        <w:drawing>
          <wp:inline distT="0" distB="0" distL="0" distR="0">
            <wp:extent cx="5669280" cy="3190494"/>
            <wp:effectExtent l="0" t="0" r="0" b="0"/>
            <wp:docPr id="124" name="matrix_vector_mult_4x4x16第二组仿真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vector_mult_4x4x16第二组仿真截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图10 第二组 2 维仿真波形截图</w:t>
      </w:r>
    </w:p>
    <w:p>
      <w:pPr>
        <w:pStyle w:val="Heading2"/>
      </w:pPr>
      <w:r>
        <w:t xml:space="preserve">第三组：3 维对照</w:t>
      </w:r>
    </w:p>
    <w:p>
      <w:r>
        <w:t xml:space="preserve">第三组 config 为 3，输入向量为 [1, -2, 3]，包含负数输入，用于验证 signed 有符号运算。输出结果为 [5, -3, 4]，三项均通过。</w:t>
      </w:r>
    </w:p>
    <w:p>
      <w:pPr>
        <w:jc w:val="center"/>
      </w:pPr>
      <w:r>
        <w:drawing>
          <wp:inline distT="0" distB="0" distL="0" distR="0">
            <wp:extent cx="2560320" cy="5186289"/>
            <wp:effectExtent l="0" t="0" r="0" b="0"/>
            <wp:docPr id="128" name="matrix_vector_mult_4x4x16第三组data数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vector_mult_4x4x16第三组data数据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518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图11 第三组 3 维 data 数据截图</w:t>
      </w:r>
    </w:p>
    <w:p>
      <w:pPr>
        <w:jc w:val="center"/>
      </w:pPr>
      <w:r>
        <w:drawing>
          <wp:inline distT="0" distB="0" distL="0" distR="0">
            <wp:extent cx="5385334" cy="2271562"/>
            <wp:effectExtent l="0" t="0" r="0" b="0"/>
            <wp:docPr id="130" name="matrix_vector_mult_4x4x16第三组运行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vector_mult_4x4x16第三组运行截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5334" cy="227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图12 第三组 3 维运行结果截图</w:t>
      </w:r>
    </w:p>
    <w:p>
      <w:pPr>
        <w:jc w:val="center"/>
      </w:pPr>
      <w:r>
        <w:drawing>
          <wp:inline distT="0" distB="0" distL="0" distR="0">
            <wp:extent cx="5669280" cy="3200507"/>
            <wp:effectExtent l="0" t="0" r="0" b="0"/>
            <wp:docPr id="132" name="matrix_vector_mult_4x4x16第三组仿真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vector_mult_4x4x16第三组仿真截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0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图13 第三组 3 维仿真波形截图</w:t>
      </w:r>
    </w:p>
    <w:p>
      <w:pPr>
        <w:pStyle w:val="Heading2"/>
      </w:pPr>
      <w:r>
        <w:t xml:space="preserve">第四组：4 维对照</w:t>
      </w:r>
    </w:p>
    <w:p>
      <w:r>
        <w:t xml:space="preserve">第四组 config 为 4，输入向量为 [7, 0, -3, 2]，权重矩阵包含正数、负数与 0，输出结果为 [12, -11, 9, 23]。运行截图显示四项结果均通过。</w:t>
      </w:r>
    </w:p>
    <w:p>
      <w:pPr>
        <w:jc w:val="center"/>
      </w:pPr>
      <w:r>
        <w:drawing>
          <wp:inline distT="0" distB="0" distL="0" distR="0">
            <wp:extent cx="2379800" cy="7680960"/>
            <wp:effectExtent l="0" t="0" r="0" b="0"/>
            <wp:docPr id="136" name="matrix_vector_mult_4x4x16第四组data数据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vector_mult_4x4x16第四组data数据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980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图14 第四组 4 维 data 数据截图之一</w:t>
      </w:r>
    </w:p>
    <w:p>
      <w:pPr>
        <w:jc w:val="center"/>
      </w:pPr>
      <w:r>
        <w:drawing>
          <wp:inline distT="0" distB="0" distL="0" distR="0">
            <wp:extent cx="2560320" cy="1212233"/>
            <wp:effectExtent l="0" t="0" r="0" b="0"/>
            <wp:docPr id="138" name="matrix_vector_mult_4x4x16第四组data数据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vector_mult_4x4x16第四组data数据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21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图15 第四组 4 维 result 数据截图</w:t>
      </w:r>
    </w:p>
    <w:p>
      <w:pPr>
        <w:jc w:val="center"/>
      </w:pPr>
      <w:r>
        <w:drawing>
          <wp:inline distT="0" distB="0" distL="0" distR="0">
            <wp:extent cx="5342021" cy="2531444"/>
            <wp:effectExtent l="0" t="0" r="0" b="0"/>
            <wp:docPr id="140" name="matrix_vector_mult_4x4x16第四组运行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vector_mult_4x4x16第四组运行截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2021" cy="253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图16 第四组 4 维运行结果截图</w:t>
      </w:r>
    </w:p>
    <w:p>
      <w:pPr>
        <w:jc w:val="center"/>
      </w:pPr>
      <w:r>
        <w:drawing>
          <wp:inline distT="0" distB="0" distL="0" distR="0">
            <wp:extent cx="5669280" cy="3197998"/>
            <wp:effectExtent l="0" t="0" r="0" b="0"/>
            <wp:docPr id="142" name="matrix_vector_mult_4x4x16第四组仿真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vector_mult_4x4x16第四组仿真截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图17 第四组 4 维仿真波形截图</w:t>
      </w:r>
    </w:p>
    <w:p>
      <w:pPr>
        <w:pStyle w:val="Heading2"/>
      </w:pPr>
      <w:r>
        <w:t xml:space="preserve">6.3 矩阵乘矩阵实验结果</w:t>
      </w:r>
    </w:p>
    <w:p>
      <w:r>
        <w:t xml:space="preserve">矩阵乘矩阵实验采用 4x4 单位矩阵作为激活矩阵和权重矩阵，理论输出仍为 4x4 单位矩阵。运行结果中 results[0][0]、results[1][1]、results[2][2]、results[3][3] 为 1，其余位置为 0，全部通过。</w:t>
      </w:r>
    </w:p>
    <w:p>
      <w:pPr>
        <w:jc w:val="center"/>
      </w:pPr>
      <w:r>
        <w:drawing>
          <wp:inline distT="0" distB="0" distL="0" distR="0">
            <wp:extent cx="4759692" cy="5058075"/>
            <wp:effectExtent l="0" t="0" r="0" b="0"/>
            <wp:docPr id="146" name="matrix_mult_4x4x4x16运行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mult_4x4x4x16运行截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9692" cy="50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图18 matrix_mult_4x4x4x16 运行结果截图</w:t>
      </w:r>
    </w:p>
    <w:p>
      <w:pPr>
        <w:jc w:val="center"/>
      </w:pPr>
      <w:r>
        <w:drawing>
          <wp:inline distT="0" distB="0" distL="0" distR="0">
            <wp:extent cx="5669280" cy="3194241"/>
            <wp:effectExtent l="0" t="0" r="0" b="0"/>
            <wp:docPr id="148" name="matrix_mult_4x4x4x16仿真截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_mult_4x4x4x16仿真截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9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t xml:space="preserve">图19 matrix_mult_4x4x4x16 仿真波形截图</w:t>
      </w:r>
    </w:p>
    <w:p>
      <w:pPr>
        <w:pStyle w:val="Heading1"/>
      </w:pPr>
      <w:r>
        <w:t xml:space="preserve">七、结果分析</w:t>
      </w:r>
    </w:p>
    <w:p>
      <w:r>
        <w:t xml:space="preserve">从内积实验可以看出，输入数据在 enable 有效后被寄存，随后 dot_product 和 result 产生正确输出，验证了基本乘加功能。矩阵乘向量实验中，四个内积单元并行工作，不同维度的对照数据均能得到正确结果，说明模块端口连接、二维数组索引以及有符号数处理均正确。矩阵乘矩阵实验通过复用矩阵乘向量模块完成二维输出矩阵计算，单位矩阵测试结果全部通过，说明层次化组合方式正确。</w:t>
      </w:r>
    </w:p>
    <w:p>
      <w:r>
        <w:t xml:space="preserve">波形观察表明，reset 释放后输入数据稳定加载，enable 拉高期间运算单元完成数据寄存和乘加，result 在后续时钟周期稳定输出。该现象与测试平台等待若干时钟后捕获结果的设计一致。</w:t>
      </w:r>
    </w:p>
    <w:p>
      <w:pPr>
        <w:pStyle w:val="Heading1"/>
      </w:pPr>
      <w:r>
        <w:t xml:space="preserve">八、实验结论</w:t>
      </w:r>
    </w:p>
    <w:p>
      <w:r>
        <w:t xml:space="preserve">本实验完成了 inner_product_4x16、matrix_vector_mult_4x4x16 和 matrix_mult_4x4x4x16 三个模块的功能验证。通过 Verilator 运行结果和 GTKWave 波形截图可以确认：内积运算器能够正确完成 16 位有符号乘加；矩阵乘向量模块能够在 1、2、3、4 维不同规模下输出正确结果；矩阵乘矩阵模块能够基于矩阵乘向量模块完成 4x4 矩阵输出。实验达到预期目标。</w:t>
      </w:r>
    </w:p>
    <w:p>
      <w:pPr>
        <w:pStyle w:val="Heading1"/>
      </w:pPr>
      <w:r>
        <w:t xml:space="preserve">九、问题与改进</w:t>
      </w:r>
    </w:p>
    <w:p>
      <w:pPr>
        <w:pStyle w:val="ListBullet"/>
      </w:pPr>
      <w:r>
        <w:t xml:space="preserve">• 测试平台中数据文件路径需要与 WSL 实际目录保持一致，可通过软链接或修改 C++ 测试代码解决。</w:t>
      </w:r>
    </w:p>
    <w:p>
      <w:pPr>
        <w:pStyle w:val="ListBullet"/>
      </w:pPr>
      <w:r>
        <w:t xml:space="preserve">• matrix_vector_mult 的 config 为单个维度，matrix_mult 的 config 为三个维度，实验时需要避免混用数据文件。</w:t>
      </w:r>
    </w:p>
    <w:p>
      <w:pPr>
        <w:pStyle w:val="ListBullet"/>
      </w:pPr>
      <w:r>
        <w:t xml:space="preserve">• 当前模块规模固定为最大 4x4，后续可通过参数化 Verilog 设计进一步支持更灵活的矩阵维度。</w:t>
      </w:r>
    </w:p>
    <w:sectPr>
      <w:pgSz w:w="11906" w:h="16838"/>
      <w:pgMar w:top="1440" w:right="1200" w:bottom="1440" w:left="120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eastAsia="宋体" w:hAnsi="Times New Roman"/>
      <w:sz w:val="24"/>
    </w:rPr>
    <w:pPr>
      <w:spacing w:line="360" w:lineRule="auto"/>
    </w:pPr>
  </w:style>
  <w:style w:type="paragraph" w:styleId="Title">
    <w:name w:val="Title"/>
    <w:rPr>
      <w:rFonts w:ascii="Times New Roman" w:eastAsia="黑体"/>
      <w:b/>
      <w:sz w:val="36"/>
    </w:rPr>
    <w:pPr>
      <w:jc w:val="center"/>
      <w:spacing w:after="240"/>
    </w:pPr>
  </w:style>
  <w:style w:type="paragraph" w:styleId="Heading1">
    <w:name w:val="heading 1"/>
    <w:basedOn w:val="Normal"/>
    <w:next w:val="Normal"/>
    <w:rPr>
      <w:rFonts w:eastAsia="黑体"/>
      <w:b/>
      <w:sz w:val="30"/>
    </w:rPr>
    <w:pPr>
      <w:spacing w:before="240" w:after="120"/>
    </w:pPr>
  </w:style>
  <w:style w:type="paragraph" w:styleId="Heading2">
    <w:name w:val="heading 2"/>
    <w:basedOn w:val="Normal"/>
    <w:next w:val="Normal"/>
    <w:rPr>
      <w:rFonts w:eastAsia="黑体"/>
      <w:b/>
      <w:sz w:val="26"/>
    </w:rPr>
    <w:pPr>
      <w:spacing w:before="180" w:after="80"/>
    </w:pPr>
  </w:style>
  <w:style w:type="paragraph" w:styleId="ListBullet">
    <w:name w:val="List Bullet"/>
    <w:basedOn w:val="Normal"/>
    <w:pPr>
      <w:ind w:left="420" w:hanging="210"/>
    </w:pPr>
  </w:style>
  <w:style w:type="paragraph" w:styleId="Code">
    <w:name w:val="Code"/>
    <w:basedOn w:val="Normal"/>
    <w:rPr>
      <w:rFonts w:ascii="Consolas" w:hAnsi="Consolas"/>
      <w:sz w:val="19"/>
    </w:rPr>
    <w:pPr>
      <w:spacing w:line="240" w:lineRule="auto"/>
    </w:p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
<Relationships xmlns="http://schemas.openxmlformats.org/package/2006/relationships">
<Relationship Id="rId1" Type="http://schemas.openxmlformats.org/officeDocument/2006/relationships/image" Target="media/image1.png"/>
<Relationship Id="rId2" Type="http://schemas.openxmlformats.org/officeDocument/2006/relationships/image" Target="media/image2.png"/>
<Relationship Id="rId3" Type="http://schemas.openxmlformats.org/officeDocument/2006/relationships/image" Target="media/image3.png"/>
<Relationship Id="rId4" Type="http://schemas.openxmlformats.org/officeDocument/2006/relationships/image" Target="media/image4.png"/>
<Relationship Id="rId5" Type="http://schemas.openxmlformats.org/officeDocument/2006/relationships/image" Target="media/image5.png"/>
<Relationship Id="rId6" Type="http://schemas.openxmlformats.org/officeDocument/2006/relationships/image" Target="media/image6.png"/>
<Relationship Id="rId7" Type="http://schemas.openxmlformats.org/officeDocument/2006/relationships/image" Target="media/image7.png"/>
<Relationship Id="rId8" Type="http://schemas.openxmlformats.org/officeDocument/2006/relationships/image" Target="media/image8.png"/>
<Relationship Id="rId9" Type="http://schemas.openxmlformats.org/officeDocument/2006/relationships/image" Target="media/image9.png"/>
<Relationship Id="rId10" Type="http://schemas.openxmlformats.org/officeDocument/2006/relationships/image" Target="media/image10.png"/>
<Relationship Id="rId11" Type="http://schemas.openxmlformats.org/officeDocument/2006/relationships/image" Target="media/image11.png"/>
<Relationship Id="rId12" Type="http://schemas.openxmlformats.org/officeDocument/2006/relationships/image" Target="media/image12.png"/>
<Relationship Id="rId13" Type="http://schemas.openxmlformats.org/officeDocument/2006/relationships/image" Target="media/image13.png"/>
<Relationship Id="rId14" Type="http://schemas.openxmlformats.org/officeDocument/2006/relationships/image" Target="media/image14.png"/>
<Relationship Id="rId15" Type="http://schemas.openxmlformats.org/officeDocument/2006/relationships/image" Target="media/image15.png"/>
<Relationship Id="rId16" Type="http://schemas.openxmlformats.org/officeDocument/2006/relationships/image" Target="media/image16.png"/>
<Relationship Id="rId17" Type="http://schemas.openxmlformats.org/officeDocument/2006/relationships/image" Target="media/image17.png"/>
<Relationship Id="rId18" Type="http://schemas.openxmlformats.org/officeDocument/2006/relationships/image" Target="media/image18.png"/>
<Relationship Id="rId19" Type="http://schemas.openxmlformats.org/officeDocument/2006/relationships/image" Target="media/image19.png"/>
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第六章实验报告</dc:title>
  <dc:creator>Codex</dc:creator>
  <cp:lastModifiedBy>Codex</cp:lastModifiedBy>
  <dcterms:created xsi:type="dcterms:W3CDTF">2026-05-24T00:00:00Z</dcterms:created>
  <dcterms:modified xsi:type="dcterms:W3CDTF">2026-05-24T00:00:00Z</dcterms:modified>
</cp:coreProperties>
</file>