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32223A70" w:rsidR="00CB60F5" w:rsidRPr="00CB60F5" w:rsidRDefault="007E0EC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Explorations on predicting movements of </w:t>
            </w:r>
            <w:r w:rsidR="005E633A">
              <w:rPr>
                <w:b/>
                <w:bCs/>
                <w:spacing w:val="28"/>
                <w:kern w:val="1"/>
                <w:sz w:val="34"/>
                <w:szCs w:val="34"/>
              </w:rPr>
              <w:t>securities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1BEB9DF5" w:rsidR="002D0824" w:rsidRDefault="002D0824" w:rsidP="00F9438D">
      <w:pPr>
        <w:widowControl w:val="0"/>
        <w:tabs>
          <w:tab w:val="center" w:pos="3600"/>
          <w:tab w:val="center" w:pos="5670"/>
        </w:tabs>
        <w:autoSpaceDE w:val="0"/>
        <w:autoSpaceDN w:val="0"/>
        <w:adjustRightInd w:val="0"/>
        <w:spacing w:line="226" w:lineRule="auto"/>
        <w:jc w:val="both"/>
        <w:rPr>
          <w:b/>
          <w:bCs/>
          <w:spacing w:val="5"/>
          <w:kern w:val="1"/>
        </w:rPr>
      </w:pPr>
      <w:r>
        <w:rPr>
          <w:b/>
          <w:bCs/>
          <w:spacing w:val="5"/>
          <w:kern w:val="1"/>
        </w:rPr>
        <w:tab/>
      </w:r>
      <w:r w:rsidR="007E0ECA">
        <w:rPr>
          <w:b/>
          <w:bCs/>
          <w:spacing w:val="5"/>
          <w:kern w:val="1"/>
        </w:rPr>
        <w:t>Simon Fraser University</w:t>
      </w:r>
      <w:r>
        <w:rPr>
          <w:b/>
          <w:bCs/>
          <w:spacing w:val="5"/>
          <w:kern w:val="1"/>
          <w:vertAlign w:val="superscript"/>
        </w:rPr>
        <w:tab/>
      </w:r>
    </w:p>
    <w:p w14:paraId="3A5177DF" w14:textId="58C24DF0" w:rsidR="002D0824" w:rsidRDefault="002D0824" w:rsidP="00F9438D">
      <w:pPr>
        <w:widowControl w:val="0"/>
        <w:tabs>
          <w:tab w:val="center" w:pos="3600"/>
          <w:tab w:val="center" w:pos="5670"/>
        </w:tabs>
        <w:autoSpaceDE w:val="0"/>
        <w:autoSpaceDN w:val="0"/>
        <w:adjustRightInd w:val="0"/>
        <w:spacing w:line="226" w:lineRule="auto"/>
        <w:jc w:val="both"/>
        <w:rPr>
          <w:spacing w:val="5"/>
          <w:kern w:val="1"/>
        </w:rPr>
      </w:pPr>
      <w:r>
        <w:rPr>
          <w:spacing w:val="5"/>
          <w:kern w:val="1"/>
        </w:rPr>
        <w:tab/>
        <w:t>Department of Comput</w:t>
      </w:r>
      <w:r w:rsidR="007E0ECA">
        <w:rPr>
          <w:spacing w:val="5"/>
          <w:kern w:val="1"/>
        </w:rPr>
        <w:t>ing</w:t>
      </w:r>
      <w:r>
        <w:rPr>
          <w:spacing w:val="5"/>
          <w:kern w:val="1"/>
        </w:rPr>
        <w:t xml:space="preserve"> Science</w:t>
      </w:r>
      <w:r>
        <w:rPr>
          <w:spacing w:val="5"/>
          <w:kern w:val="1"/>
        </w:rPr>
        <w:tab/>
      </w:r>
    </w:p>
    <w:p w14:paraId="1BC276DB" w14:textId="5C91D80B" w:rsidR="007E0ECA" w:rsidRPr="007E0ECA" w:rsidRDefault="007E0ECA" w:rsidP="00F9438D">
      <w:pPr>
        <w:widowControl w:val="0"/>
        <w:tabs>
          <w:tab w:val="center" w:pos="3600"/>
          <w:tab w:val="center" w:pos="5670"/>
        </w:tabs>
        <w:autoSpaceDE w:val="0"/>
        <w:autoSpaceDN w:val="0"/>
        <w:adjustRightInd w:val="0"/>
        <w:spacing w:line="226" w:lineRule="auto"/>
        <w:jc w:val="both"/>
        <w:rPr>
          <w:spacing w:val="5"/>
          <w:kern w:val="1"/>
        </w:rPr>
      </w:pPr>
      <w:r w:rsidRPr="007E0ECA">
        <w:rPr>
          <w:spacing w:val="5"/>
          <w:kern w:val="1"/>
        </w:rPr>
        <w:tab/>
        <w:t>Burnaby, BC V5A 1S6</w:t>
      </w:r>
      <w:r w:rsidRPr="007E0ECA">
        <w:rPr>
          <w:spacing w:val="5"/>
          <w:kern w:val="1"/>
        </w:rPr>
        <w:tab/>
      </w:r>
    </w:p>
    <w:p w14:paraId="0B276A54" w14:textId="6F9C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r>
        <w:rPr>
          <w:spacing w:val="5"/>
          <w:kern w:val="1"/>
        </w:rPr>
        <w:tab/>
      </w:r>
    </w:p>
    <w:p w14:paraId="14B806A9" w14:textId="39A32AF8"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r>
      <w:r w:rsidR="007E0ECA" w:rsidRPr="007E0ECA">
        <w:rPr>
          <w:rFonts w:ascii="Cambria" w:hAnsi="Cambria"/>
          <w:b/>
          <w:bCs/>
          <w:color w:val="000000"/>
          <w:shd w:val="clear" w:color="auto" w:fill="FFFFFF"/>
        </w:rPr>
        <w:t>Winfield Chen</w:t>
      </w:r>
      <w:r>
        <w:rPr>
          <w:b/>
          <w:bCs/>
          <w:spacing w:val="5"/>
          <w:kern w:val="1"/>
        </w:rPr>
        <w:tab/>
      </w:r>
      <w:r w:rsidR="007E0ECA">
        <w:rPr>
          <w:b/>
          <w:bCs/>
          <w:spacing w:val="5"/>
          <w:kern w:val="1"/>
        </w:rPr>
        <w:t>Khizr Ali Pardhan</w:t>
      </w:r>
      <w:r>
        <w:rPr>
          <w:b/>
          <w:bCs/>
          <w:spacing w:val="5"/>
          <w:kern w:val="1"/>
        </w:rPr>
        <w:tab/>
      </w:r>
      <w:r w:rsidR="007E0ECA" w:rsidRPr="007E0ECA">
        <w:rPr>
          <w:rFonts w:ascii="Cambria" w:hAnsi="Cambria"/>
          <w:b/>
          <w:bCs/>
          <w:color w:val="000000"/>
          <w:shd w:val="clear" w:color="auto" w:fill="FFFFFF"/>
        </w:rPr>
        <w:t>David Pham</w:t>
      </w:r>
    </w:p>
    <w:p w14:paraId="72E44AAC" w14:textId="46620C6F"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7E0ECA">
        <w:rPr>
          <w:spacing w:val="5"/>
          <w:kern w:val="1"/>
        </w:rPr>
        <w:t>Computing Science</w:t>
      </w:r>
      <w:r>
        <w:rPr>
          <w:spacing w:val="5"/>
          <w:kern w:val="1"/>
        </w:rPr>
        <w:tab/>
      </w:r>
      <w:r w:rsidR="007E0ECA">
        <w:rPr>
          <w:spacing w:val="5"/>
          <w:kern w:val="1"/>
        </w:rPr>
        <w:t>Cognit</w:t>
      </w:r>
      <w:r w:rsidR="00901EC5">
        <w:rPr>
          <w:spacing w:val="5"/>
          <w:kern w:val="1"/>
        </w:rPr>
        <w:t>i</w:t>
      </w:r>
      <w:r w:rsidR="007E0ECA">
        <w:rPr>
          <w:spacing w:val="5"/>
          <w:kern w:val="1"/>
        </w:rPr>
        <w:t>ve Science</w:t>
      </w:r>
      <w:r>
        <w:rPr>
          <w:spacing w:val="5"/>
          <w:kern w:val="1"/>
        </w:rPr>
        <w:tab/>
      </w:r>
      <w:r w:rsidR="007E0ECA">
        <w:rPr>
          <w:spacing w:val="5"/>
          <w:kern w:val="1"/>
        </w:rPr>
        <w:t xml:space="preserve">Computing Science </w:t>
      </w:r>
    </w:p>
    <w:p w14:paraId="257F86D5" w14:textId="15541BE1" w:rsidR="002D0824" w:rsidRDefault="007E0ECA">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Pr>
          <w:rFonts w:ascii="Cambria" w:hAnsi="Cambria"/>
          <w:color w:val="000000"/>
          <w:shd w:val="clear" w:color="auto" w:fill="FFFFFF"/>
        </w:rPr>
        <w:t>wca88@</w:t>
      </w:r>
      <w:r w:rsidR="008944C6">
        <w:rPr>
          <w:rFonts w:ascii="Cambria" w:hAnsi="Cambria"/>
          <w:color w:val="000000"/>
          <w:shd w:val="clear" w:color="auto" w:fill="FFFFFF"/>
        </w:rPr>
        <w:t>sfu.ca</w:t>
      </w:r>
      <w:r w:rsidR="002D0824">
        <w:rPr>
          <w:spacing w:val="5"/>
          <w:kern w:val="1"/>
        </w:rPr>
        <w:tab/>
      </w:r>
      <w:r w:rsidR="00AF0ED5">
        <w:rPr>
          <w:spacing w:val="5"/>
          <w:kern w:val="1"/>
        </w:rPr>
        <w:t>k</w:t>
      </w:r>
      <w:r>
        <w:rPr>
          <w:spacing w:val="5"/>
          <w:kern w:val="1"/>
        </w:rPr>
        <w:t>pardhan@sfu.ca</w:t>
      </w:r>
      <w:r w:rsidR="002D0824">
        <w:rPr>
          <w:spacing w:val="5"/>
          <w:kern w:val="1"/>
        </w:rPr>
        <w:tab/>
      </w:r>
      <w:r>
        <w:rPr>
          <w:rFonts w:ascii="Cambria" w:hAnsi="Cambria"/>
          <w:color w:val="000000"/>
          <w:shd w:val="clear" w:color="auto" w:fill="FFFFFF"/>
        </w:rPr>
        <w:t>dpa35@sfu.ca</w:t>
      </w:r>
      <w:r w:rsidR="002D0824">
        <w:rPr>
          <w:spacing w:val="5"/>
          <w:kern w:val="1"/>
        </w:rPr>
        <w:tab/>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46755C3"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944C6">
        <w:rPr>
          <w:b/>
          <w:bCs/>
          <w:spacing w:val="24"/>
          <w:kern w:val="1"/>
          <w:sz w:val="24"/>
          <w:szCs w:val="24"/>
        </w:rPr>
        <w:t>Project Overview</w:t>
      </w:r>
    </w:p>
    <w:p w14:paraId="22056A6D" w14:textId="2B3EA3C1" w:rsidR="00BE0F7B" w:rsidRDefault="00AF7601" w:rsidP="005E633A">
      <w:pPr>
        <w:widowControl w:val="0"/>
        <w:autoSpaceDE w:val="0"/>
        <w:autoSpaceDN w:val="0"/>
        <w:adjustRightInd w:val="0"/>
        <w:spacing w:before="120" w:line="226" w:lineRule="auto"/>
        <w:ind w:firstLine="720"/>
        <w:jc w:val="both"/>
        <w:rPr>
          <w:spacing w:val="5"/>
          <w:kern w:val="1"/>
        </w:rPr>
      </w:pPr>
      <w:r>
        <w:rPr>
          <w:spacing w:val="5"/>
          <w:kern w:val="1"/>
        </w:rPr>
        <w:t>Financial M</w:t>
      </w:r>
      <w:r w:rsidRPr="00AF7601">
        <w:rPr>
          <w:spacing w:val="5"/>
          <w:kern w:val="1"/>
        </w:rPr>
        <w:t>athematics</w:t>
      </w:r>
      <w:r w:rsidRPr="00AF7601">
        <w:rPr>
          <w:spacing w:val="5"/>
          <w:kern w:val="1"/>
        </w:rPr>
        <w:t xml:space="preserve"> </w:t>
      </w:r>
      <w:r w:rsidR="00BE0F7B">
        <w:rPr>
          <w:spacing w:val="5"/>
          <w:kern w:val="1"/>
        </w:rPr>
        <w:t xml:space="preserve">is a very well researched domain lying on the intersection of applied Math, Finance, Data Science and Software Engineering. </w:t>
      </w:r>
      <w:r w:rsidR="008944C6">
        <w:rPr>
          <w:spacing w:val="5"/>
          <w:kern w:val="1"/>
        </w:rPr>
        <w:t>We will compare a large variety of models and architectures for neural networks and compare them against other machine learning and non-machine learning techniques, in order to identify</w:t>
      </w:r>
      <w:r w:rsidR="00901EC5">
        <w:rPr>
          <w:spacing w:val="5"/>
          <w:kern w:val="1"/>
        </w:rPr>
        <w:t xml:space="preserve"> a superior algorithm i</w:t>
      </w:r>
      <w:r w:rsidR="005E633A">
        <w:rPr>
          <w:spacing w:val="5"/>
          <w:kern w:val="1"/>
        </w:rPr>
        <w:t>n</w:t>
      </w:r>
      <w:r w:rsidR="00901EC5">
        <w:rPr>
          <w:spacing w:val="5"/>
          <w:kern w:val="1"/>
        </w:rPr>
        <w:t xml:space="preserve"> a variety of asset prediction methods.</w:t>
      </w:r>
    </w:p>
    <w:p w14:paraId="4196BDDE" w14:textId="212939FF" w:rsidR="00901EC5" w:rsidRDefault="00901EC5" w:rsidP="008944C6">
      <w:pPr>
        <w:widowControl w:val="0"/>
        <w:autoSpaceDE w:val="0"/>
        <w:autoSpaceDN w:val="0"/>
        <w:adjustRightInd w:val="0"/>
        <w:spacing w:before="120" w:line="226" w:lineRule="auto"/>
        <w:jc w:val="both"/>
        <w:rPr>
          <w:spacing w:val="5"/>
          <w:kern w:val="1"/>
        </w:rPr>
      </w:pPr>
    </w:p>
    <w:p w14:paraId="2F16C986" w14:textId="2C3DA185" w:rsidR="00AF0ED5" w:rsidRDefault="00AF0ED5" w:rsidP="005E633A">
      <w:pPr>
        <w:widowControl w:val="0"/>
        <w:autoSpaceDE w:val="0"/>
        <w:autoSpaceDN w:val="0"/>
        <w:adjustRightInd w:val="0"/>
        <w:spacing w:before="120" w:line="226" w:lineRule="auto"/>
        <w:ind w:firstLine="720"/>
        <w:jc w:val="both"/>
        <w:rPr>
          <w:spacing w:val="5"/>
          <w:kern w:val="1"/>
        </w:rPr>
      </w:pPr>
      <w:r>
        <w:rPr>
          <w:spacing w:val="5"/>
          <w:kern w:val="1"/>
        </w:rPr>
        <w:t>Some asset movements predictions techniques are: Using popular sentiment, trading a fund based on information and predictions of its composing assets, and rapidly trading derivatives leveraging changings on the underlying asset(s). If time and resources permit, we can explore the use of fundamental indictors to predict long term movements, among other things of interest</w:t>
      </w:r>
      <w:r w:rsidR="005E633A">
        <w:rPr>
          <w:spacing w:val="5"/>
          <w:kern w:val="1"/>
        </w:rPr>
        <w:t>, such as predicting the price-to-earnings ratio of a stock</w:t>
      </w:r>
      <w:r>
        <w:rPr>
          <w:spacing w:val="5"/>
          <w:kern w:val="1"/>
        </w:rPr>
        <w:t xml:space="preserve">. </w:t>
      </w:r>
    </w:p>
    <w:p w14:paraId="0E895AC4" w14:textId="3DFE72DF" w:rsidR="00AF0ED5" w:rsidRDefault="00AF0ED5" w:rsidP="008944C6">
      <w:pPr>
        <w:widowControl w:val="0"/>
        <w:autoSpaceDE w:val="0"/>
        <w:autoSpaceDN w:val="0"/>
        <w:adjustRightInd w:val="0"/>
        <w:spacing w:before="120" w:line="226" w:lineRule="auto"/>
        <w:jc w:val="both"/>
        <w:rPr>
          <w:spacing w:val="5"/>
          <w:kern w:val="1"/>
        </w:rPr>
      </w:pPr>
    </w:p>
    <w:p w14:paraId="1F9BE0CA" w14:textId="70C3731F" w:rsidR="002B0087" w:rsidRDefault="00AF0ED5" w:rsidP="005E633A">
      <w:pPr>
        <w:widowControl w:val="0"/>
        <w:autoSpaceDE w:val="0"/>
        <w:autoSpaceDN w:val="0"/>
        <w:adjustRightInd w:val="0"/>
        <w:spacing w:before="120" w:line="226" w:lineRule="auto"/>
        <w:ind w:firstLine="720"/>
        <w:jc w:val="both"/>
        <w:rPr>
          <w:spacing w:val="5"/>
          <w:kern w:val="1"/>
        </w:rPr>
      </w:pPr>
      <w:r>
        <w:rPr>
          <w:spacing w:val="5"/>
          <w:kern w:val="1"/>
        </w:rPr>
        <w:t xml:space="preserve">Work will be divided up such that </w:t>
      </w:r>
      <w:r w:rsidR="00BE0F7B">
        <w:rPr>
          <w:spacing w:val="5"/>
          <w:kern w:val="1"/>
        </w:rPr>
        <w:t xml:space="preserve">each </w:t>
      </w:r>
      <w:r>
        <w:rPr>
          <w:spacing w:val="5"/>
          <w:kern w:val="1"/>
        </w:rPr>
        <w:t xml:space="preserve">person will </w:t>
      </w:r>
      <w:r w:rsidR="00BE0F7B">
        <w:rPr>
          <w:spacing w:val="5"/>
          <w:kern w:val="1"/>
        </w:rPr>
        <w:t>explore</w:t>
      </w:r>
      <w:r>
        <w:rPr>
          <w:spacing w:val="5"/>
          <w:kern w:val="1"/>
        </w:rPr>
        <w:t xml:space="preserve"> and evaluate one of the above ideas. </w:t>
      </w:r>
      <w:r w:rsidR="00BE0F7B">
        <w:rPr>
          <w:spacing w:val="5"/>
          <w:kern w:val="1"/>
        </w:rPr>
        <w:t xml:space="preserve">Depending on personal interests and time, other ideas can be explored. Our goal is to </w:t>
      </w:r>
      <w:r w:rsidR="00BE0F7B" w:rsidRPr="00BE0F7B">
        <w:rPr>
          <w:spacing w:val="5"/>
          <w:kern w:val="1"/>
        </w:rPr>
        <w:t>purpose</w:t>
      </w:r>
      <w:r w:rsidR="00BE0F7B">
        <w:rPr>
          <w:spacing w:val="5"/>
          <w:kern w:val="1"/>
        </w:rPr>
        <w:t xml:space="preserve"> two </w:t>
      </w:r>
      <w:r w:rsidR="00E26185">
        <w:rPr>
          <w:spacing w:val="5"/>
          <w:kern w:val="1"/>
        </w:rPr>
        <w:t>methods</w:t>
      </w:r>
      <w:r w:rsidR="00BE0F7B">
        <w:rPr>
          <w:spacing w:val="5"/>
          <w:kern w:val="1"/>
        </w:rPr>
        <w:t xml:space="preserve"> to beat the </w:t>
      </w:r>
      <w:r w:rsidR="00E26185">
        <w:rPr>
          <w:spacing w:val="5"/>
          <w:kern w:val="1"/>
        </w:rPr>
        <w:t>performance</w:t>
      </w:r>
      <w:r w:rsidR="00BE0F7B">
        <w:rPr>
          <w:spacing w:val="5"/>
          <w:kern w:val="1"/>
        </w:rPr>
        <w:t xml:space="preserve"> of the S&amp;P 500 index,</w:t>
      </w:r>
      <w:r w:rsidR="00D36050">
        <w:rPr>
          <w:spacing w:val="5"/>
          <w:kern w:val="1"/>
        </w:rPr>
        <w:t xml:space="preserve"> one on</w:t>
      </w:r>
      <w:r w:rsidR="00BE0F7B">
        <w:rPr>
          <w:spacing w:val="5"/>
          <w:kern w:val="1"/>
        </w:rPr>
        <w:t xml:space="preserve"> </w:t>
      </w:r>
      <w:proofErr w:type="gramStart"/>
      <w:r w:rsidR="00E26185">
        <w:rPr>
          <w:spacing w:val="5"/>
          <w:kern w:val="1"/>
        </w:rPr>
        <w:t>a</w:t>
      </w:r>
      <w:r w:rsidR="00D36050">
        <w:rPr>
          <w:spacing w:val="5"/>
          <w:kern w:val="1"/>
        </w:rPr>
        <w:t>n</w:t>
      </w:r>
      <w:proofErr w:type="gramEnd"/>
      <w:r w:rsidR="00E26185">
        <w:rPr>
          <w:spacing w:val="5"/>
          <w:kern w:val="1"/>
        </w:rPr>
        <w:t xml:space="preserve"> week</w:t>
      </w:r>
      <w:r w:rsidR="00804748">
        <w:rPr>
          <w:spacing w:val="5"/>
          <w:kern w:val="1"/>
        </w:rPr>
        <w:t>ly</w:t>
      </w:r>
      <w:r w:rsidR="00E26185">
        <w:rPr>
          <w:spacing w:val="5"/>
          <w:kern w:val="1"/>
        </w:rPr>
        <w:t xml:space="preserve"> time scale, and </w:t>
      </w:r>
      <w:r w:rsidR="00D36050">
        <w:rPr>
          <w:spacing w:val="5"/>
          <w:kern w:val="1"/>
        </w:rPr>
        <w:t xml:space="preserve">one </w:t>
      </w:r>
      <w:r w:rsidR="00E26185">
        <w:rPr>
          <w:spacing w:val="5"/>
          <w:kern w:val="1"/>
        </w:rPr>
        <w:t>on a</w:t>
      </w:r>
      <w:r w:rsidR="00804748">
        <w:rPr>
          <w:spacing w:val="5"/>
          <w:kern w:val="1"/>
        </w:rPr>
        <w:t xml:space="preserve"> multi-monthly</w:t>
      </w:r>
      <w:r w:rsidR="00E26185" w:rsidRPr="00E26185">
        <w:rPr>
          <w:spacing w:val="5"/>
          <w:kern w:val="1"/>
        </w:rPr>
        <w:t xml:space="preserve"> </w:t>
      </w:r>
      <w:r w:rsidR="00E26185">
        <w:rPr>
          <w:spacing w:val="5"/>
          <w:kern w:val="1"/>
        </w:rPr>
        <w:t>time scale</w:t>
      </w:r>
      <w:r w:rsidR="005E633A">
        <w:rPr>
          <w:spacing w:val="5"/>
          <w:kern w:val="1"/>
        </w:rPr>
        <w:t xml:space="preserve">. </w:t>
      </w:r>
      <w:r w:rsidR="002B0087">
        <w:rPr>
          <w:spacing w:val="5"/>
          <w:kern w:val="1"/>
        </w:rPr>
        <w:t xml:space="preserve">Our self-imposed hard deadline for projects </w:t>
      </w:r>
      <w:r w:rsidR="005E633A">
        <w:rPr>
          <w:spacing w:val="5"/>
          <w:kern w:val="1"/>
        </w:rPr>
        <w:t>presentation</w:t>
      </w:r>
      <w:r w:rsidR="002B0087">
        <w:rPr>
          <w:spacing w:val="5"/>
          <w:kern w:val="1"/>
        </w:rPr>
        <w:t xml:space="preserve"> and report are </w:t>
      </w:r>
      <w:r w:rsidR="005E633A">
        <w:rPr>
          <w:spacing w:val="5"/>
          <w:kern w:val="1"/>
        </w:rPr>
        <w:t>April 6</w:t>
      </w:r>
      <w:r w:rsidR="002B0087" w:rsidRPr="002B0087">
        <w:rPr>
          <w:spacing w:val="5"/>
          <w:kern w:val="1"/>
          <w:vertAlign w:val="superscript"/>
        </w:rPr>
        <w:t>th</w:t>
      </w:r>
      <w:r w:rsidR="002B0087">
        <w:rPr>
          <w:spacing w:val="5"/>
          <w:kern w:val="1"/>
        </w:rPr>
        <w:t xml:space="preserve">, and </w:t>
      </w:r>
      <w:r w:rsidR="005E633A">
        <w:rPr>
          <w:spacing w:val="5"/>
          <w:kern w:val="1"/>
        </w:rPr>
        <w:t>April 17</w:t>
      </w:r>
      <w:r w:rsidR="002B0087" w:rsidRPr="002B0087">
        <w:rPr>
          <w:spacing w:val="5"/>
          <w:kern w:val="1"/>
          <w:vertAlign w:val="superscript"/>
        </w:rPr>
        <w:t>th</w:t>
      </w:r>
      <w:r w:rsidR="002B0087">
        <w:rPr>
          <w:spacing w:val="5"/>
          <w:kern w:val="1"/>
        </w:rPr>
        <w:t xml:space="preserve"> </w:t>
      </w:r>
      <w:r w:rsidR="005E633A">
        <w:rPr>
          <w:spacing w:val="5"/>
          <w:kern w:val="1"/>
        </w:rPr>
        <w:t>respectably</w:t>
      </w:r>
      <w:r w:rsidR="002B0087">
        <w:rPr>
          <w:spacing w:val="5"/>
          <w:kern w:val="1"/>
        </w:rPr>
        <w:t xml:space="preserve">. </w:t>
      </w:r>
      <w:r w:rsidR="005E633A">
        <w:rPr>
          <w:spacing w:val="5"/>
          <w:kern w:val="1"/>
        </w:rPr>
        <w:t xml:space="preserve">This means we have six weeks to do our individual parts, and one week to have them come together under our unifying theme of predicting the price of tradable (security) assets. </w:t>
      </w:r>
    </w:p>
    <w:p w14:paraId="78B89AEB" w14:textId="27DF7631" w:rsidR="00AF7601" w:rsidRDefault="00A85171" w:rsidP="00AF7601">
      <w:pPr>
        <w:widowControl w:val="0"/>
        <w:autoSpaceDE w:val="0"/>
        <w:autoSpaceDN w:val="0"/>
        <w:adjustRightInd w:val="0"/>
        <w:spacing w:before="120" w:line="226" w:lineRule="auto"/>
        <w:jc w:val="both"/>
        <w:rPr>
          <w:spacing w:val="5"/>
          <w:kern w:val="1"/>
        </w:rPr>
      </w:pPr>
      <w:r>
        <w:rPr>
          <w:spacing w:val="5"/>
          <w:kern w:val="1"/>
        </w:rPr>
        <w:t xml:space="preserve"> </w:t>
      </w:r>
      <w:bookmarkStart w:id="0" w:name="_GoBack"/>
      <w:bookmarkEnd w:id="0"/>
    </w:p>
    <w:p w14:paraId="7CFF902E" w14:textId="4C415EB8" w:rsidR="0054347C" w:rsidRDefault="0054347C" w:rsidP="0054347C">
      <w:pPr>
        <w:widowControl w:val="0"/>
        <w:autoSpaceDE w:val="0"/>
        <w:autoSpaceDN w:val="0"/>
        <w:adjustRightInd w:val="0"/>
        <w:spacing w:before="240" w:after="40" w:line="226" w:lineRule="auto"/>
        <w:rPr>
          <w:b/>
          <w:bCs/>
          <w:spacing w:val="24"/>
          <w:kern w:val="1"/>
        </w:rPr>
      </w:pPr>
      <w:r>
        <w:rPr>
          <w:b/>
          <w:bCs/>
          <w:spacing w:val="24"/>
          <w:kern w:val="1"/>
        </w:rPr>
        <w:t>Potential r</w:t>
      </w:r>
      <w:r>
        <w:rPr>
          <w:b/>
          <w:bCs/>
          <w:spacing w:val="24"/>
          <w:kern w:val="1"/>
        </w:rPr>
        <w:t>eferences</w:t>
      </w:r>
    </w:p>
    <w:p w14:paraId="19CEF148" w14:textId="77777777" w:rsidR="0054347C" w:rsidRDefault="0054347C" w:rsidP="0054347C">
      <w:pPr>
        <w:widowControl w:val="0"/>
        <w:autoSpaceDE w:val="0"/>
        <w:autoSpaceDN w:val="0"/>
        <w:adjustRightInd w:val="0"/>
        <w:spacing w:before="240" w:after="40" w:line="226" w:lineRule="auto"/>
        <w:rPr>
          <w:b/>
          <w:bCs/>
          <w:spacing w:val="24"/>
          <w:kern w:val="1"/>
        </w:rPr>
      </w:pPr>
    </w:p>
    <w:p w14:paraId="08008BF1" w14:textId="78C28634" w:rsidR="00AF7601" w:rsidRDefault="00AF7601" w:rsidP="00AF7601">
      <w:pPr>
        <w:widowControl w:val="0"/>
        <w:autoSpaceDE w:val="0"/>
        <w:autoSpaceDN w:val="0"/>
        <w:adjustRightInd w:val="0"/>
        <w:spacing w:before="120" w:line="226" w:lineRule="auto"/>
        <w:jc w:val="both"/>
        <w:rPr>
          <w:spacing w:val="5"/>
          <w:kern w:val="1"/>
        </w:rPr>
      </w:pPr>
      <w:hyperlink r:id="rId5" w:history="1">
        <w:r w:rsidRPr="00AF7601">
          <w:rPr>
            <w:rStyle w:val="Hyperlink"/>
            <w:spacing w:val="5"/>
            <w:kern w:val="1"/>
          </w:rPr>
          <w:t>Text-based crude oil price forecasting</w:t>
        </w:r>
      </w:hyperlink>
      <w:r>
        <w:rPr>
          <w:spacing w:val="5"/>
          <w:kern w:val="1"/>
        </w:rPr>
        <w:t>,</w:t>
      </w:r>
    </w:p>
    <w:p w14:paraId="1127E8E1" w14:textId="3DA5A053" w:rsidR="008C3E58" w:rsidRDefault="00AF7601" w:rsidP="008944C6">
      <w:pPr>
        <w:widowControl w:val="0"/>
        <w:autoSpaceDE w:val="0"/>
        <w:autoSpaceDN w:val="0"/>
        <w:adjustRightInd w:val="0"/>
        <w:spacing w:before="120" w:line="226" w:lineRule="auto"/>
        <w:jc w:val="both"/>
        <w:rPr>
          <w:spacing w:val="5"/>
          <w:kern w:val="1"/>
        </w:rPr>
      </w:pPr>
      <w:hyperlink r:id="rId6" w:history="1">
        <w:r w:rsidRPr="00AF7601">
          <w:rPr>
            <w:rStyle w:val="Hyperlink"/>
            <w:spacing w:val="5"/>
            <w:kern w:val="1"/>
          </w:rPr>
          <w:t>Detecting Changes in Asset Co-Movement Using the Autoencoder Reconstruction Ratio</w:t>
        </w:r>
      </w:hyperlink>
    </w:p>
    <w:p w14:paraId="40E94E73" w14:textId="2F839D52" w:rsidR="00AF0ED5" w:rsidRDefault="00AF7601" w:rsidP="008944C6">
      <w:pPr>
        <w:widowControl w:val="0"/>
        <w:autoSpaceDE w:val="0"/>
        <w:autoSpaceDN w:val="0"/>
        <w:adjustRightInd w:val="0"/>
        <w:spacing w:before="120" w:line="226" w:lineRule="auto"/>
        <w:jc w:val="both"/>
        <w:rPr>
          <w:spacing w:val="5"/>
          <w:kern w:val="1"/>
        </w:rPr>
      </w:pPr>
      <w:hyperlink r:id="rId7" w:history="1">
        <w:r w:rsidRPr="00AF7601">
          <w:rPr>
            <w:rStyle w:val="Hyperlink"/>
            <w:spacing w:val="5"/>
            <w:kern w:val="1"/>
          </w:rPr>
          <w:t>A Bayesian regularized artificial neural network for stock market forecasting</w:t>
        </w:r>
      </w:hyperlink>
    </w:p>
    <w:p w14:paraId="4CD39126" w14:textId="0BA868C6" w:rsidR="00AF0ED5" w:rsidRDefault="00AF7601" w:rsidP="008944C6">
      <w:pPr>
        <w:widowControl w:val="0"/>
        <w:autoSpaceDE w:val="0"/>
        <w:autoSpaceDN w:val="0"/>
        <w:adjustRightInd w:val="0"/>
        <w:spacing w:before="120" w:line="226" w:lineRule="auto"/>
        <w:jc w:val="both"/>
        <w:rPr>
          <w:spacing w:val="5"/>
          <w:kern w:val="1"/>
        </w:rPr>
      </w:pPr>
      <w:hyperlink r:id="rId8" w:history="1">
        <w:r w:rsidRPr="00AF7601">
          <w:rPr>
            <w:rStyle w:val="Hyperlink"/>
            <w:spacing w:val="5"/>
            <w:kern w:val="1"/>
          </w:rPr>
          <w:t>Recession forecasting using Bayesian classification</w:t>
        </w:r>
      </w:hyperlink>
    </w:p>
    <w:p w14:paraId="45A2ABA0" w14:textId="1C2E66F0" w:rsidR="00901EC5" w:rsidRDefault="00BB364D" w:rsidP="008944C6">
      <w:pPr>
        <w:widowControl w:val="0"/>
        <w:autoSpaceDE w:val="0"/>
        <w:autoSpaceDN w:val="0"/>
        <w:adjustRightInd w:val="0"/>
        <w:spacing w:before="120" w:line="226" w:lineRule="auto"/>
        <w:jc w:val="both"/>
        <w:rPr>
          <w:spacing w:val="5"/>
          <w:kern w:val="1"/>
        </w:rPr>
      </w:pPr>
      <w:hyperlink r:id="rId9" w:history="1">
        <w:r w:rsidRPr="00BB364D">
          <w:rPr>
            <w:rStyle w:val="Hyperlink"/>
            <w:spacing w:val="5"/>
            <w:kern w:val="1"/>
          </w:rPr>
          <w:t>Support Tensor Machine for Financial Forecasting</w:t>
        </w:r>
      </w:hyperlink>
    </w:p>
    <w:sectPr w:rsidR="00901EC5"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1C2F6F"/>
    <w:rsid w:val="00236EFF"/>
    <w:rsid w:val="002B0087"/>
    <w:rsid w:val="002B0181"/>
    <w:rsid w:val="002D0824"/>
    <w:rsid w:val="00402F65"/>
    <w:rsid w:val="0054347C"/>
    <w:rsid w:val="005D3E9F"/>
    <w:rsid w:val="005E633A"/>
    <w:rsid w:val="0063111C"/>
    <w:rsid w:val="006D7922"/>
    <w:rsid w:val="007E0ECA"/>
    <w:rsid w:val="00804748"/>
    <w:rsid w:val="008304B0"/>
    <w:rsid w:val="00890056"/>
    <w:rsid w:val="008944C6"/>
    <w:rsid w:val="008C3E58"/>
    <w:rsid w:val="00901EC5"/>
    <w:rsid w:val="009A6637"/>
    <w:rsid w:val="00A667B5"/>
    <w:rsid w:val="00A85171"/>
    <w:rsid w:val="00AC15F2"/>
    <w:rsid w:val="00AF0ED5"/>
    <w:rsid w:val="00AF7601"/>
    <w:rsid w:val="00BB364D"/>
    <w:rsid w:val="00BC1C8D"/>
    <w:rsid w:val="00BE0F7B"/>
    <w:rsid w:val="00C71ADE"/>
    <w:rsid w:val="00CB60F5"/>
    <w:rsid w:val="00CD4CC7"/>
    <w:rsid w:val="00D36050"/>
    <w:rsid w:val="00D73214"/>
    <w:rsid w:val="00DB0664"/>
    <w:rsid w:val="00E26185"/>
    <w:rsid w:val="00F46E00"/>
    <w:rsid w:val="00F9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D1B055E-0E93-4C24-87E9-64FA6463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59506">
      <w:bodyDiv w:val="1"/>
      <w:marLeft w:val="0"/>
      <w:marRight w:val="0"/>
      <w:marTop w:val="0"/>
      <w:marBottom w:val="0"/>
      <w:divBdr>
        <w:top w:val="none" w:sz="0" w:space="0" w:color="auto"/>
        <w:left w:val="none" w:sz="0" w:space="0" w:color="auto"/>
        <w:bottom w:val="none" w:sz="0" w:space="0" w:color="auto"/>
        <w:right w:val="none" w:sz="0" w:space="0" w:color="auto"/>
      </w:divBdr>
    </w:div>
    <w:div w:id="778377995">
      <w:bodyDiv w:val="1"/>
      <w:marLeft w:val="0"/>
      <w:marRight w:val="0"/>
      <w:marTop w:val="0"/>
      <w:marBottom w:val="0"/>
      <w:divBdr>
        <w:top w:val="none" w:sz="0" w:space="0" w:color="auto"/>
        <w:left w:val="none" w:sz="0" w:space="0" w:color="auto"/>
        <w:bottom w:val="none" w:sz="0" w:space="0" w:color="auto"/>
        <w:right w:val="none" w:sz="0" w:space="0" w:color="auto"/>
      </w:divBdr>
    </w:div>
    <w:div w:id="1136067924">
      <w:bodyDiv w:val="1"/>
      <w:marLeft w:val="0"/>
      <w:marRight w:val="0"/>
      <w:marTop w:val="0"/>
      <w:marBottom w:val="0"/>
      <w:divBdr>
        <w:top w:val="none" w:sz="0" w:space="0" w:color="auto"/>
        <w:left w:val="none" w:sz="0" w:space="0" w:color="auto"/>
        <w:bottom w:val="none" w:sz="0" w:space="0" w:color="auto"/>
        <w:right w:val="none" w:sz="0" w:space="0" w:color="auto"/>
      </w:divBdr>
    </w:div>
    <w:div w:id="1302611837">
      <w:bodyDiv w:val="1"/>
      <w:marLeft w:val="0"/>
      <w:marRight w:val="0"/>
      <w:marTop w:val="0"/>
      <w:marBottom w:val="0"/>
      <w:divBdr>
        <w:top w:val="none" w:sz="0" w:space="0" w:color="auto"/>
        <w:left w:val="none" w:sz="0" w:space="0" w:color="auto"/>
        <w:bottom w:val="none" w:sz="0" w:space="0" w:color="auto"/>
        <w:right w:val="none" w:sz="0" w:space="0" w:color="auto"/>
      </w:divBdr>
    </w:div>
    <w:div w:id="1596286363">
      <w:bodyDiv w:val="1"/>
      <w:marLeft w:val="0"/>
      <w:marRight w:val="0"/>
      <w:marTop w:val="0"/>
      <w:marBottom w:val="0"/>
      <w:divBdr>
        <w:top w:val="none" w:sz="0" w:space="0" w:color="auto"/>
        <w:left w:val="none" w:sz="0" w:space="0" w:color="auto"/>
        <w:bottom w:val="none" w:sz="0" w:space="0" w:color="auto"/>
        <w:right w:val="none" w:sz="0" w:space="0" w:color="auto"/>
      </w:divBdr>
    </w:div>
    <w:div w:id="20632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9207018301560" TargetMode="External"/><Relationship Id="rId3" Type="http://schemas.openxmlformats.org/officeDocument/2006/relationships/settings" Target="settings.xml"/><Relationship Id="rId7" Type="http://schemas.openxmlformats.org/officeDocument/2006/relationships/hyperlink" Target="https://www.sciencedirect.com/science/article/pii/S09574174130025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2.02008" TargetMode="External"/><Relationship Id="rId11" Type="http://schemas.openxmlformats.org/officeDocument/2006/relationships/theme" Target="theme/theme1.xml"/><Relationship Id="rId5" Type="http://schemas.openxmlformats.org/officeDocument/2006/relationships/hyperlink" Target="https://arxiv.org/abs/2002.020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8683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alik9807274</cp:lastModifiedBy>
  <cp:revision>18</cp:revision>
  <dcterms:created xsi:type="dcterms:W3CDTF">2020-02-15T19:16:00Z</dcterms:created>
  <dcterms:modified xsi:type="dcterms:W3CDTF">2020-02-15T19:49:00Z</dcterms:modified>
</cp:coreProperties>
</file>