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A3903" w14:textId="77777777" w:rsidR="001667FC" w:rsidRDefault="00205C03"/>
    <w:p w14:paraId="6249F5CA" w14:textId="77777777" w:rsidR="00496AC9" w:rsidRDefault="00496AC9" w:rsidP="00496AC9"/>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855"/>
        <w:gridCol w:w="4410"/>
        <w:gridCol w:w="5310"/>
      </w:tblGrid>
      <w:tr w:rsidR="00496AC9" w:rsidRPr="006548ED" w14:paraId="17E3CDCB" w14:textId="77777777" w:rsidTr="00496AC9">
        <w:trPr>
          <w:trHeight w:val="320"/>
        </w:trPr>
        <w:tc>
          <w:tcPr>
            <w:tcW w:w="4855" w:type="dxa"/>
            <w:shd w:val="clear" w:color="auto" w:fill="auto"/>
            <w:vAlign w:val="center"/>
            <w:hideMark/>
          </w:tcPr>
          <w:p w14:paraId="0429B05A" w14:textId="7E18C3FB" w:rsidR="00496AC9" w:rsidRPr="00496AC9" w:rsidRDefault="00496AC9" w:rsidP="00496AC9">
            <w:pPr>
              <w:spacing w:before="0" w:after="0"/>
              <w:ind w:firstLine="0"/>
              <w:jc w:val="center"/>
              <w:rPr>
                <w:rFonts w:ascii="Calibri" w:eastAsia="Times New Roman" w:hAnsi="Calibri" w:cs="Calibri"/>
                <w:b/>
                <w:bCs/>
                <w:color w:val="000000"/>
              </w:rPr>
            </w:pPr>
            <w:proofErr w:type="spellStart"/>
            <w:r w:rsidRPr="00496AC9">
              <w:rPr>
                <w:rFonts w:ascii="Calibri" w:eastAsia="Times New Roman" w:hAnsi="Calibri" w:cs="Calibri"/>
                <w:b/>
                <w:bCs/>
                <w:color w:val="000000"/>
              </w:rPr>
              <w:t>en</w:t>
            </w:r>
            <w:r w:rsidRPr="006548ED">
              <w:rPr>
                <w:rFonts w:ascii="Calibri" w:eastAsia="Times New Roman" w:hAnsi="Calibri" w:cs="Calibri"/>
                <w:b/>
                <w:bCs/>
                <w:color w:val="000000"/>
              </w:rPr>
              <w:t>glish</w:t>
            </w:r>
            <w:proofErr w:type="spellEnd"/>
          </w:p>
        </w:tc>
        <w:tc>
          <w:tcPr>
            <w:tcW w:w="4410" w:type="dxa"/>
            <w:shd w:val="clear" w:color="auto" w:fill="auto"/>
            <w:vAlign w:val="center"/>
            <w:hideMark/>
          </w:tcPr>
          <w:p w14:paraId="4E5F1395" w14:textId="020C3968" w:rsidR="00496AC9" w:rsidRPr="00496AC9" w:rsidRDefault="00496AC9" w:rsidP="00496AC9">
            <w:pPr>
              <w:spacing w:before="0" w:after="0"/>
              <w:ind w:firstLine="0"/>
              <w:jc w:val="center"/>
              <w:rPr>
                <w:rFonts w:ascii="Calibri" w:eastAsia="Times New Roman" w:hAnsi="Calibri" w:cs="Calibri"/>
                <w:b/>
                <w:bCs/>
                <w:color w:val="000000"/>
              </w:rPr>
            </w:pPr>
            <w:proofErr w:type="spellStart"/>
            <w:r w:rsidRPr="00496AC9">
              <w:rPr>
                <w:rFonts w:ascii="Calibri" w:eastAsia="Times New Roman" w:hAnsi="Calibri" w:cs="Calibri"/>
                <w:b/>
                <w:bCs/>
                <w:color w:val="000000"/>
              </w:rPr>
              <w:t>fr</w:t>
            </w:r>
            <w:r w:rsidRPr="006548ED">
              <w:rPr>
                <w:rFonts w:ascii="Calibri" w:eastAsia="Times New Roman" w:hAnsi="Calibri" w:cs="Calibri"/>
                <w:b/>
                <w:bCs/>
                <w:color w:val="000000"/>
              </w:rPr>
              <w:t>ench</w:t>
            </w:r>
            <w:proofErr w:type="spellEnd"/>
          </w:p>
        </w:tc>
        <w:tc>
          <w:tcPr>
            <w:tcW w:w="5310" w:type="dxa"/>
            <w:shd w:val="clear" w:color="auto" w:fill="auto"/>
            <w:vAlign w:val="center"/>
            <w:hideMark/>
          </w:tcPr>
          <w:p w14:paraId="307F1F62" w14:textId="283A5C82" w:rsidR="00496AC9" w:rsidRPr="00496AC9" w:rsidRDefault="00496AC9" w:rsidP="00496AC9">
            <w:pPr>
              <w:spacing w:before="0" w:after="0"/>
              <w:ind w:firstLine="0"/>
              <w:jc w:val="center"/>
              <w:rPr>
                <w:rFonts w:ascii="Calibri" w:eastAsia="Times New Roman" w:hAnsi="Calibri" w:cs="Calibri"/>
                <w:b/>
                <w:bCs/>
                <w:color w:val="000000"/>
              </w:rPr>
            </w:pPr>
            <w:r w:rsidRPr="006548ED">
              <w:rPr>
                <w:rFonts w:ascii="Calibri" w:eastAsia="Times New Roman" w:hAnsi="Calibri" w:cs="Calibri"/>
                <w:b/>
                <w:bCs/>
                <w:color w:val="000000"/>
              </w:rPr>
              <w:t>Spanish</w:t>
            </w:r>
          </w:p>
        </w:tc>
      </w:tr>
      <w:tr w:rsidR="00496AC9" w:rsidRPr="00BD0799" w14:paraId="09E39818" w14:textId="77777777" w:rsidTr="00496AC9">
        <w:trPr>
          <w:trHeight w:val="320"/>
        </w:trPr>
        <w:tc>
          <w:tcPr>
            <w:tcW w:w="4855" w:type="dxa"/>
            <w:shd w:val="clear" w:color="auto" w:fill="auto"/>
            <w:vAlign w:val="center"/>
            <w:hideMark/>
          </w:tcPr>
          <w:p w14:paraId="6712E69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per 100,000 population (hover mouse pointer over dots to reveal statistics)</w:t>
            </w:r>
          </w:p>
        </w:tc>
        <w:tc>
          <w:tcPr>
            <w:tcW w:w="4410" w:type="dxa"/>
            <w:shd w:val="clear" w:color="auto" w:fill="auto"/>
            <w:vAlign w:val="center"/>
            <w:hideMark/>
          </w:tcPr>
          <w:p w14:paraId="5B243F96"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proofErr w:type="gramStart"/>
            <w:r w:rsidRPr="00E56DFA">
              <w:rPr>
                <w:rFonts w:ascii="Calibri" w:eastAsia="Times New Roman" w:hAnsi="Calibri" w:cs="Calibri"/>
                <w:color w:val="000000"/>
                <w:sz w:val="20"/>
                <w:szCs w:val="20"/>
                <w:lang w:val="fr-FR"/>
              </w:rPr>
              <w:t>pour</w:t>
            </w:r>
            <w:proofErr w:type="gramEnd"/>
            <w:r w:rsidRPr="00E56DFA">
              <w:rPr>
                <w:rFonts w:ascii="Calibri" w:eastAsia="Times New Roman" w:hAnsi="Calibri" w:cs="Calibri"/>
                <w:color w:val="000000"/>
                <w:sz w:val="20"/>
                <w:szCs w:val="20"/>
                <w:lang w:val="fr-FR"/>
              </w:rPr>
              <w:t xml:space="preserve"> 100 000 habitants (survolez les points avec la souris pour afficher les statistiques)</w:t>
            </w:r>
          </w:p>
        </w:tc>
        <w:tc>
          <w:tcPr>
            <w:tcW w:w="5310" w:type="dxa"/>
            <w:shd w:val="clear" w:color="auto" w:fill="auto"/>
            <w:vAlign w:val="center"/>
            <w:hideMark/>
          </w:tcPr>
          <w:p w14:paraId="18A84173" w14:textId="00275876"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por 100.000 habitantes (</w:t>
            </w:r>
            <w:r w:rsidRPr="00E56DFA">
              <w:rPr>
                <w:rFonts w:ascii="Calibri" w:eastAsia="Times New Roman" w:hAnsi="Calibri" w:cs="Calibri"/>
                <w:b/>
                <w:bCs/>
                <w:color w:val="FF0000"/>
                <w:sz w:val="20"/>
                <w:szCs w:val="20"/>
                <w:lang w:val="es-ES"/>
              </w:rPr>
              <w:t>pase</w:t>
            </w:r>
            <w:r w:rsidR="00E56DFA">
              <w:rPr>
                <w:rFonts w:ascii="Calibri" w:eastAsia="Times New Roman" w:hAnsi="Calibri" w:cs="Calibri"/>
                <w:b/>
                <w:bCs/>
                <w:color w:val="FF0000"/>
                <w:sz w:val="20"/>
                <w:szCs w:val="20"/>
                <w:lang w:val="es-ES"/>
              </w:rPr>
              <w:t>n</w:t>
            </w:r>
            <w:r w:rsidRPr="00E56DFA">
              <w:rPr>
                <w:rFonts w:ascii="Calibri" w:eastAsia="Times New Roman" w:hAnsi="Calibri" w:cs="Calibri"/>
                <w:color w:val="000000"/>
                <w:sz w:val="20"/>
                <w:szCs w:val="20"/>
                <w:lang w:val="es-ES"/>
              </w:rPr>
              <w:t xml:space="preserve"> el puntero del </w:t>
            </w:r>
            <w:r w:rsidR="00E56DFA" w:rsidRPr="00E56DFA">
              <w:rPr>
                <w:rFonts w:ascii="Calibri" w:eastAsia="Times New Roman" w:hAnsi="Calibri" w:cs="Calibri"/>
                <w:b/>
                <w:bCs/>
                <w:color w:val="FF0000"/>
                <w:sz w:val="20"/>
                <w:szCs w:val="20"/>
                <w:lang w:val="es-ES"/>
              </w:rPr>
              <w:t>ratón</w:t>
            </w:r>
            <w:r w:rsidRPr="00E56DFA">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sobre los puntos para revelar estadísticas)</w:t>
            </w:r>
          </w:p>
        </w:tc>
      </w:tr>
      <w:tr w:rsidR="00496AC9" w:rsidRPr="00BD0799" w14:paraId="12963E71" w14:textId="77777777" w:rsidTr="00496AC9">
        <w:trPr>
          <w:trHeight w:val="320"/>
        </w:trPr>
        <w:tc>
          <w:tcPr>
            <w:tcW w:w="4855" w:type="dxa"/>
            <w:shd w:val="clear" w:color="auto" w:fill="auto"/>
            <w:vAlign w:val="center"/>
            <w:hideMark/>
          </w:tcPr>
          <w:p w14:paraId="10FE03A3"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Disability-Adjusted Life Year (DALY) is the summary measure that best give an indication of overall burden of disease.</w:t>
            </w:r>
          </w:p>
        </w:tc>
        <w:tc>
          <w:tcPr>
            <w:tcW w:w="4410" w:type="dxa"/>
            <w:shd w:val="clear" w:color="auto" w:fill="auto"/>
            <w:vAlign w:val="center"/>
            <w:hideMark/>
          </w:tcPr>
          <w:p w14:paraId="7BDE40FA"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L'Année de Vie Ajustée sur l'Incapacité (AVAI) est la mesure synthétique qui donne le mieux une indication du fardeau global de la maladie.</w:t>
            </w:r>
          </w:p>
        </w:tc>
        <w:tc>
          <w:tcPr>
            <w:tcW w:w="5310" w:type="dxa"/>
            <w:shd w:val="clear" w:color="auto" w:fill="auto"/>
            <w:vAlign w:val="center"/>
            <w:hideMark/>
          </w:tcPr>
          <w:p w14:paraId="186FC2F0"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El Año de Vida Ajustado por Discapacidad (AVAD) es la medida resumida que mejor da una indicación de la carga general de la enfermedad.</w:t>
            </w:r>
          </w:p>
        </w:tc>
      </w:tr>
      <w:tr w:rsidR="00496AC9" w:rsidRPr="00BD0799" w14:paraId="343EA634" w14:textId="77777777" w:rsidTr="00496AC9">
        <w:trPr>
          <w:trHeight w:val="320"/>
        </w:trPr>
        <w:tc>
          <w:tcPr>
            <w:tcW w:w="4855" w:type="dxa"/>
            <w:shd w:val="clear" w:color="auto" w:fill="auto"/>
            <w:vAlign w:val="center"/>
            <w:hideMark/>
          </w:tcPr>
          <w:p w14:paraId="223D22B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One DALY can be thought of as one lost year of healthy life.</w:t>
            </w:r>
          </w:p>
        </w:tc>
        <w:tc>
          <w:tcPr>
            <w:tcW w:w="4410" w:type="dxa"/>
            <w:shd w:val="clear" w:color="auto" w:fill="auto"/>
            <w:vAlign w:val="center"/>
            <w:hideMark/>
          </w:tcPr>
          <w:p w14:paraId="1E6A88AD"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Une AVAI peut être considérée comme une année perdue de vie saine.</w:t>
            </w:r>
          </w:p>
        </w:tc>
        <w:tc>
          <w:tcPr>
            <w:tcW w:w="5310" w:type="dxa"/>
            <w:shd w:val="clear" w:color="auto" w:fill="auto"/>
            <w:vAlign w:val="center"/>
            <w:hideMark/>
          </w:tcPr>
          <w:p w14:paraId="780A0A6B"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Un AVAD puede considerarse como un año perdido de vida saludable.</w:t>
            </w:r>
          </w:p>
        </w:tc>
      </w:tr>
      <w:tr w:rsidR="00496AC9" w:rsidRPr="00BD0799" w14:paraId="713D7203" w14:textId="77777777" w:rsidTr="00496AC9">
        <w:trPr>
          <w:trHeight w:val="320"/>
        </w:trPr>
        <w:tc>
          <w:tcPr>
            <w:tcW w:w="4855" w:type="dxa"/>
            <w:shd w:val="clear" w:color="auto" w:fill="auto"/>
            <w:vAlign w:val="center"/>
            <w:hideMark/>
          </w:tcPr>
          <w:p w14:paraId="253A37B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LEGEND: Dot radius is function of burden; Small radius means low burden.</w:t>
            </w:r>
          </w:p>
        </w:tc>
        <w:tc>
          <w:tcPr>
            <w:tcW w:w="4410" w:type="dxa"/>
            <w:shd w:val="clear" w:color="auto" w:fill="auto"/>
            <w:vAlign w:val="center"/>
            <w:hideMark/>
          </w:tcPr>
          <w:p w14:paraId="45794745"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LÉGENDE: Le rayon des points est fonction du fardeau; Un petit rayon signifie un faible fardeau.</w:t>
            </w:r>
          </w:p>
        </w:tc>
        <w:tc>
          <w:tcPr>
            <w:tcW w:w="5310" w:type="dxa"/>
            <w:shd w:val="clear" w:color="auto" w:fill="auto"/>
            <w:vAlign w:val="center"/>
            <w:hideMark/>
          </w:tcPr>
          <w:p w14:paraId="58AFF456"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LEYENDA: El radio de puntos es función de la carga; Radio pequeño significa baja carga.</w:t>
            </w:r>
          </w:p>
        </w:tc>
      </w:tr>
      <w:tr w:rsidR="00496AC9" w:rsidRPr="00BD0799" w14:paraId="0207524E" w14:textId="77777777" w:rsidTr="00496AC9">
        <w:trPr>
          <w:trHeight w:val="320"/>
        </w:trPr>
        <w:tc>
          <w:tcPr>
            <w:tcW w:w="4855" w:type="dxa"/>
            <w:shd w:val="clear" w:color="auto" w:fill="auto"/>
            <w:vAlign w:val="center"/>
            <w:hideMark/>
          </w:tcPr>
          <w:p w14:paraId="4186C2A7"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Countries are color-coded based on the quality of the data (DQ) they provided.</w:t>
            </w:r>
          </w:p>
        </w:tc>
        <w:tc>
          <w:tcPr>
            <w:tcW w:w="4410" w:type="dxa"/>
            <w:shd w:val="clear" w:color="auto" w:fill="auto"/>
            <w:vAlign w:val="center"/>
            <w:hideMark/>
          </w:tcPr>
          <w:p w14:paraId="69E656D5"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Les pays ont un code couleur basé sur la qualité des données (QD) qu'ils ont fournies.</w:t>
            </w:r>
          </w:p>
        </w:tc>
        <w:tc>
          <w:tcPr>
            <w:tcW w:w="5310" w:type="dxa"/>
            <w:shd w:val="clear" w:color="auto" w:fill="auto"/>
            <w:vAlign w:val="center"/>
            <w:hideMark/>
          </w:tcPr>
          <w:p w14:paraId="449E253C"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Los países están codificados por colores según la calidad de los datos (CD) que proporcionaron.</w:t>
            </w:r>
          </w:p>
        </w:tc>
      </w:tr>
      <w:tr w:rsidR="00496AC9" w:rsidRPr="00BD0799" w14:paraId="017B052B" w14:textId="77777777" w:rsidTr="00496AC9">
        <w:trPr>
          <w:trHeight w:val="320"/>
        </w:trPr>
        <w:tc>
          <w:tcPr>
            <w:tcW w:w="4855" w:type="dxa"/>
            <w:shd w:val="clear" w:color="auto" w:fill="auto"/>
            <w:vAlign w:val="center"/>
            <w:hideMark/>
          </w:tcPr>
          <w:p w14:paraId="404547C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Green (DQ = 1): Multiple years of high quality death registration data are available;  Blue (DQ = 2): Multiple years of moderate quality death registration data are available;  Orange (DQ = 3): Multiple years of low quality death registration data are available;  Red (DQ = 4): Low HIV country without useable death registration data;  Black (DQ = 5): High HIV country without useable death registration.</w:t>
            </w:r>
          </w:p>
        </w:tc>
        <w:tc>
          <w:tcPr>
            <w:tcW w:w="4410" w:type="dxa"/>
            <w:shd w:val="clear" w:color="auto" w:fill="auto"/>
            <w:vAlign w:val="center"/>
            <w:hideMark/>
          </w:tcPr>
          <w:p w14:paraId="3CDE8005"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Vert (QD = 1): plusieurs années d’enregistrement de décès de haute qualité sont disponibles;  Bleu (QD = 2): plusieurs années d'enregistrement de décès de qualité moyenne sont disponibles;  Orange (QD = 3): plusieurs années d'enregistrement de décès de qualité médiocre sont disponibles;  Rouge (QD = 4): pays à faible VIH sans données d’enregistrement de décès utilisables;  Noir (QD = 5): pays à VIH élevé sans enregistrement de décès utilisable.</w:t>
            </w:r>
          </w:p>
        </w:tc>
        <w:tc>
          <w:tcPr>
            <w:tcW w:w="5310" w:type="dxa"/>
            <w:shd w:val="clear" w:color="auto" w:fill="auto"/>
            <w:vAlign w:val="center"/>
            <w:hideMark/>
          </w:tcPr>
          <w:p w14:paraId="3EE20F8A" w14:textId="701CB8EC"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 xml:space="preserve">Verde (CD = 1): </w:t>
            </w:r>
            <w:r w:rsidRPr="00D50022">
              <w:rPr>
                <w:rFonts w:ascii="Calibri" w:eastAsia="Times New Roman" w:hAnsi="Calibri" w:cs="Calibri"/>
                <w:b/>
                <w:bCs/>
                <w:color w:val="FF0000"/>
                <w:sz w:val="20"/>
                <w:szCs w:val="20"/>
                <w:lang w:val="es-ES"/>
              </w:rPr>
              <w:t xml:space="preserve">varios años de datos </w:t>
            </w:r>
            <w:r w:rsidR="00D50022" w:rsidRPr="00D50022">
              <w:rPr>
                <w:rFonts w:ascii="Calibri" w:eastAsia="Times New Roman" w:hAnsi="Calibri" w:cs="Calibri"/>
                <w:b/>
                <w:bCs/>
                <w:color w:val="FF0000"/>
                <w:sz w:val="20"/>
                <w:szCs w:val="20"/>
                <w:lang w:val="es-ES"/>
              </w:rPr>
              <w:t>de alta calidad</w:t>
            </w:r>
            <w:r w:rsidR="009976C3">
              <w:rPr>
                <w:rFonts w:ascii="Calibri" w:eastAsia="Times New Roman" w:hAnsi="Calibri" w:cs="Calibri"/>
                <w:b/>
                <w:bCs/>
                <w:color w:val="FF0000"/>
                <w:sz w:val="20"/>
                <w:szCs w:val="20"/>
                <w:lang w:val="es-ES"/>
              </w:rPr>
              <w:t>,</w:t>
            </w:r>
            <w:r w:rsidR="00D50022" w:rsidRPr="00D50022">
              <w:rPr>
                <w:rFonts w:ascii="Calibri" w:eastAsia="Times New Roman" w:hAnsi="Calibri" w:cs="Calibri"/>
                <w:b/>
                <w:bCs/>
                <w:color w:val="FF0000"/>
                <w:sz w:val="20"/>
                <w:szCs w:val="20"/>
                <w:lang w:val="es-ES"/>
              </w:rPr>
              <w:t xml:space="preserve"> registrados sobre los decesos </w:t>
            </w:r>
            <w:r w:rsidRPr="00D50022">
              <w:rPr>
                <w:rFonts w:ascii="Calibri" w:eastAsia="Times New Roman" w:hAnsi="Calibri" w:cs="Calibri"/>
                <w:b/>
                <w:bCs/>
                <w:color w:val="FF0000"/>
                <w:sz w:val="20"/>
                <w:szCs w:val="20"/>
                <w:lang w:val="es-ES"/>
              </w:rPr>
              <w:t>están disponibles</w:t>
            </w:r>
            <w:r w:rsidRPr="00E56DFA">
              <w:rPr>
                <w:rFonts w:ascii="Calibri" w:eastAsia="Times New Roman" w:hAnsi="Calibri" w:cs="Calibri"/>
                <w:color w:val="000000"/>
                <w:sz w:val="20"/>
                <w:szCs w:val="20"/>
                <w:lang w:val="es-ES"/>
              </w:rPr>
              <w:t xml:space="preserve">; Azul (CD = 2): </w:t>
            </w:r>
            <w:r w:rsidR="009976C3" w:rsidRPr="00D50022">
              <w:rPr>
                <w:rFonts w:ascii="Calibri" w:eastAsia="Times New Roman" w:hAnsi="Calibri" w:cs="Calibri"/>
                <w:b/>
                <w:bCs/>
                <w:color w:val="FF0000"/>
                <w:sz w:val="20"/>
                <w:szCs w:val="20"/>
                <w:lang w:val="es-ES"/>
              </w:rPr>
              <w:t>varios años de datos de calidad</w:t>
            </w:r>
            <w:r w:rsidR="009976C3">
              <w:rPr>
                <w:rFonts w:ascii="Calibri" w:eastAsia="Times New Roman" w:hAnsi="Calibri" w:cs="Calibri"/>
                <w:b/>
                <w:bCs/>
                <w:color w:val="FF0000"/>
                <w:sz w:val="20"/>
                <w:szCs w:val="20"/>
                <w:lang w:val="es-ES"/>
              </w:rPr>
              <w:t xml:space="preserve"> moderada,</w:t>
            </w:r>
            <w:r w:rsidR="009976C3" w:rsidRPr="00D50022">
              <w:rPr>
                <w:rFonts w:ascii="Calibri" w:eastAsia="Times New Roman" w:hAnsi="Calibri" w:cs="Calibri"/>
                <w:b/>
                <w:bCs/>
                <w:color w:val="FF0000"/>
                <w:sz w:val="20"/>
                <w:szCs w:val="20"/>
                <w:lang w:val="es-ES"/>
              </w:rPr>
              <w:t xml:space="preserve"> registrados sobre los decesos están disponibles</w:t>
            </w:r>
            <w:r w:rsidRPr="00E56DFA">
              <w:rPr>
                <w:rFonts w:ascii="Calibri" w:eastAsia="Times New Roman" w:hAnsi="Calibri" w:cs="Calibri"/>
                <w:color w:val="000000"/>
                <w:sz w:val="20"/>
                <w:szCs w:val="20"/>
                <w:lang w:val="es-ES"/>
              </w:rPr>
              <w:t xml:space="preserve">; Naranja (CD = 3): hay disponibles </w:t>
            </w:r>
            <w:r w:rsidR="009976C3" w:rsidRPr="00D50022">
              <w:rPr>
                <w:rFonts w:ascii="Calibri" w:eastAsia="Times New Roman" w:hAnsi="Calibri" w:cs="Calibri"/>
                <w:b/>
                <w:bCs/>
                <w:color w:val="FF0000"/>
                <w:sz w:val="20"/>
                <w:szCs w:val="20"/>
                <w:lang w:val="es-ES"/>
              </w:rPr>
              <w:t>varios años de datos de calidad</w:t>
            </w:r>
            <w:r w:rsidR="009976C3">
              <w:rPr>
                <w:rFonts w:ascii="Calibri" w:eastAsia="Times New Roman" w:hAnsi="Calibri" w:cs="Calibri"/>
                <w:b/>
                <w:bCs/>
                <w:color w:val="FF0000"/>
                <w:sz w:val="20"/>
                <w:szCs w:val="20"/>
                <w:lang w:val="es-ES"/>
              </w:rPr>
              <w:t xml:space="preserve"> baja,</w:t>
            </w:r>
            <w:r w:rsidR="009976C3" w:rsidRPr="00D50022">
              <w:rPr>
                <w:rFonts w:ascii="Calibri" w:eastAsia="Times New Roman" w:hAnsi="Calibri" w:cs="Calibri"/>
                <w:b/>
                <w:bCs/>
                <w:color w:val="FF0000"/>
                <w:sz w:val="20"/>
                <w:szCs w:val="20"/>
                <w:lang w:val="es-ES"/>
              </w:rPr>
              <w:t xml:space="preserve"> registrados sobre los decesos están disponibles</w:t>
            </w:r>
            <w:r w:rsidRPr="00E56DFA">
              <w:rPr>
                <w:rFonts w:ascii="Calibri" w:eastAsia="Times New Roman" w:hAnsi="Calibri" w:cs="Calibri"/>
                <w:color w:val="000000"/>
                <w:sz w:val="20"/>
                <w:szCs w:val="20"/>
                <w:lang w:val="es-ES"/>
              </w:rPr>
              <w:t xml:space="preserve">; Rojo (CD = 4): </w:t>
            </w:r>
            <w:r w:rsidRPr="009976C3">
              <w:rPr>
                <w:rFonts w:ascii="Calibri" w:eastAsia="Times New Roman" w:hAnsi="Calibri" w:cs="Calibri"/>
                <w:b/>
                <w:bCs/>
                <w:color w:val="FF0000"/>
                <w:sz w:val="20"/>
                <w:szCs w:val="20"/>
                <w:lang w:val="es-ES"/>
              </w:rPr>
              <w:t xml:space="preserve">país con bajo VIH sin datos </w:t>
            </w:r>
            <w:r w:rsidR="009976C3" w:rsidRPr="009976C3">
              <w:rPr>
                <w:rFonts w:ascii="Calibri" w:eastAsia="Times New Roman" w:hAnsi="Calibri" w:cs="Calibri"/>
                <w:b/>
                <w:bCs/>
                <w:color w:val="FF0000"/>
                <w:sz w:val="20"/>
                <w:szCs w:val="20"/>
                <w:lang w:val="es-ES"/>
              </w:rPr>
              <w:t>de deceso utilizables  registrados</w:t>
            </w:r>
            <w:r w:rsidRPr="00E56DFA">
              <w:rPr>
                <w:rFonts w:ascii="Calibri" w:eastAsia="Times New Roman" w:hAnsi="Calibri" w:cs="Calibri"/>
                <w:color w:val="000000"/>
                <w:sz w:val="20"/>
                <w:szCs w:val="20"/>
                <w:lang w:val="es-ES"/>
              </w:rPr>
              <w:t xml:space="preserve">; Negro (CD = 5): </w:t>
            </w:r>
            <w:r w:rsidRPr="009976C3">
              <w:rPr>
                <w:rFonts w:ascii="Calibri" w:eastAsia="Times New Roman" w:hAnsi="Calibri" w:cs="Calibri"/>
                <w:b/>
                <w:bCs/>
                <w:color w:val="FF0000"/>
                <w:sz w:val="20"/>
                <w:szCs w:val="20"/>
                <w:lang w:val="es-ES"/>
              </w:rPr>
              <w:t xml:space="preserve">país con VIH alto sin registro de </w:t>
            </w:r>
            <w:r w:rsidR="009976C3" w:rsidRPr="009976C3">
              <w:rPr>
                <w:rFonts w:ascii="Calibri" w:eastAsia="Times New Roman" w:hAnsi="Calibri" w:cs="Calibri"/>
                <w:b/>
                <w:bCs/>
                <w:color w:val="FF0000"/>
                <w:sz w:val="20"/>
                <w:szCs w:val="20"/>
                <w:lang w:val="es-ES"/>
              </w:rPr>
              <w:t>deceso</w:t>
            </w:r>
            <w:r w:rsidRPr="009976C3">
              <w:rPr>
                <w:rFonts w:ascii="Calibri" w:eastAsia="Times New Roman" w:hAnsi="Calibri" w:cs="Calibri"/>
                <w:b/>
                <w:bCs/>
                <w:color w:val="FF0000"/>
                <w:sz w:val="20"/>
                <w:szCs w:val="20"/>
                <w:lang w:val="es-ES"/>
              </w:rPr>
              <w:t xml:space="preserve"> utilizable.</w:t>
            </w:r>
          </w:p>
        </w:tc>
      </w:tr>
      <w:tr w:rsidR="00496AC9" w:rsidRPr="00BD0799" w14:paraId="392EDDF1" w14:textId="77777777" w:rsidTr="00496AC9">
        <w:trPr>
          <w:trHeight w:val="320"/>
        </w:trPr>
        <w:tc>
          <w:tcPr>
            <w:tcW w:w="4855" w:type="dxa"/>
            <w:shd w:val="clear" w:color="auto" w:fill="auto"/>
            <w:vAlign w:val="center"/>
            <w:hideMark/>
          </w:tcPr>
          <w:p w14:paraId="7CDCB08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Choose a burden measure:</w:t>
            </w:r>
          </w:p>
        </w:tc>
        <w:tc>
          <w:tcPr>
            <w:tcW w:w="4410" w:type="dxa"/>
            <w:shd w:val="clear" w:color="auto" w:fill="auto"/>
            <w:vAlign w:val="center"/>
            <w:hideMark/>
          </w:tcPr>
          <w:p w14:paraId="396C5181"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Choisissez une mesure de fardeau:</w:t>
            </w:r>
          </w:p>
        </w:tc>
        <w:tc>
          <w:tcPr>
            <w:tcW w:w="5310" w:type="dxa"/>
            <w:shd w:val="clear" w:color="auto" w:fill="auto"/>
            <w:vAlign w:val="center"/>
            <w:hideMark/>
          </w:tcPr>
          <w:p w14:paraId="0B7F9975" w14:textId="144DF3A9" w:rsidR="00496AC9" w:rsidRPr="00E45143" w:rsidRDefault="00496AC9" w:rsidP="00496AC9">
            <w:pPr>
              <w:spacing w:before="0" w:after="0"/>
              <w:ind w:firstLine="0"/>
              <w:jc w:val="left"/>
              <w:rPr>
                <w:rFonts w:ascii="Calibri" w:eastAsia="Times New Roman" w:hAnsi="Calibri" w:cs="Calibri"/>
                <w:b/>
                <w:bCs/>
                <w:color w:val="FF0000"/>
                <w:sz w:val="20"/>
                <w:szCs w:val="20"/>
                <w:lang w:val="es-ES"/>
              </w:rPr>
            </w:pPr>
            <w:r w:rsidRPr="00E45143">
              <w:rPr>
                <w:rFonts w:ascii="Calibri" w:eastAsia="Times New Roman" w:hAnsi="Calibri" w:cs="Calibri"/>
                <w:b/>
                <w:bCs/>
                <w:color w:val="FF0000"/>
                <w:sz w:val="20"/>
                <w:szCs w:val="20"/>
                <w:lang w:val="es-ES"/>
              </w:rPr>
              <w:t>Elija</w:t>
            </w:r>
            <w:r w:rsidR="00E45143" w:rsidRPr="00E45143">
              <w:rPr>
                <w:rFonts w:ascii="Calibri" w:eastAsia="Times New Roman" w:hAnsi="Calibri" w:cs="Calibri"/>
                <w:b/>
                <w:bCs/>
                <w:color w:val="FF0000"/>
                <w:sz w:val="20"/>
                <w:szCs w:val="20"/>
                <w:lang w:val="es-ES"/>
              </w:rPr>
              <w:t>n</w:t>
            </w:r>
            <w:r w:rsidRPr="00E45143">
              <w:rPr>
                <w:rFonts w:ascii="Calibri" w:eastAsia="Times New Roman" w:hAnsi="Calibri" w:cs="Calibri"/>
                <w:b/>
                <w:bCs/>
                <w:color w:val="FF0000"/>
                <w:sz w:val="20"/>
                <w:szCs w:val="20"/>
                <w:lang w:val="es-ES"/>
              </w:rPr>
              <w:t xml:space="preserve"> una medida de carga:</w:t>
            </w:r>
          </w:p>
        </w:tc>
      </w:tr>
      <w:tr w:rsidR="00496AC9" w:rsidRPr="006548ED" w14:paraId="61E0F830" w14:textId="77777777" w:rsidTr="00496AC9">
        <w:trPr>
          <w:trHeight w:val="320"/>
        </w:trPr>
        <w:tc>
          <w:tcPr>
            <w:tcW w:w="4855" w:type="dxa"/>
            <w:shd w:val="clear" w:color="auto" w:fill="auto"/>
            <w:vAlign w:val="center"/>
            <w:hideMark/>
          </w:tcPr>
          <w:p w14:paraId="23BA800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Choose a year:</w:t>
            </w:r>
          </w:p>
        </w:tc>
        <w:tc>
          <w:tcPr>
            <w:tcW w:w="4410" w:type="dxa"/>
            <w:shd w:val="clear" w:color="auto" w:fill="auto"/>
            <w:vAlign w:val="center"/>
            <w:hideMark/>
          </w:tcPr>
          <w:p w14:paraId="44CE9B95"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Choisissez</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une</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année</w:t>
            </w:r>
            <w:proofErr w:type="spellEnd"/>
            <w:r w:rsidRPr="00496AC9">
              <w:rPr>
                <w:rFonts w:ascii="Calibri" w:eastAsia="Times New Roman" w:hAnsi="Calibri" w:cs="Calibri"/>
                <w:color w:val="000000"/>
                <w:sz w:val="20"/>
                <w:szCs w:val="20"/>
              </w:rPr>
              <w:t>:</w:t>
            </w:r>
          </w:p>
        </w:tc>
        <w:tc>
          <w:tcPr>
            <w:tcW w:w="5310" w:type="dxa"/>
            <w:shd w:val="clear" w:color="auto" w:fill="auto"/>
            <w:vAlign w:val="center"/>
            <w:hideMark/>
          </w:tcPr>
          <w:p w14:paraId="45337374" w14:textId="53AD51F7" w:rsidR="00496AC9" w:rsidRPr="00E45143" w:rsidRDefault="00496AC9" w:rsidP="00496AC9">
            <w:pPr>
              <w:spacing w:before="0" w:after="0"/>
              <w:ind w:firstLine="0"/>
              <w:jc w:val="left"/>
              <w:rPr>
                <w:rFonts w:ascii="Calibri" w:eastAsia="Times New Roman" w:hAnsi="Calibri" w:cs="Calibri"/>
                <w:b/>
                <w:bCs/>
                <w:color w:val="FF0000"/>
                <w:sz w:val="20"/>
                <w:szCs w:val="20"/>
              </w:rPr>
            </w:pPr>
            <w:proofErr w:type="spellStart"/>
            <w:r w:rsidRPr="00E45143">
              <w:rPr>
                <w:rFonts w:ascii="Calibri" w:eastAsia="Times New Roman" w:hAnsi="Calibri" w:cs="Calibri"/>
                <w:b/>
                <w:bCs/>
                <w:color w:val="FF0000"/>
                <w:sz w:val="20"/>
                <w:szCs w:val="20"/>
              </w:rPr>
              <w:t>Eli</w:t>
            </w:r>
            <w:r w:rsidR="00E45143" w:rsidRPr="00E45143">
              <w:rPr>
                <w:rFonts w:ascii="Calibri" w:eastAsia="Times New Roman" w:hAnsi="Calibri" w:cs="Calibri"/>
                <w:b/>
                <w:bCs/>
                <w:color w:val="FF0000"/>
                <w:sz w:val="20"/>
                <w:szCs w:val="20"/>
              </w:rPr>
              <w:t>jan</w:t>
            </w:r>
            <w:proofErr w:type="spellEnd"/>
            <w:r w:rsidRPr="00E45143">
              <w:rPr>
                <w:rFonts w:ascii="Calibri" w:eastAsia="Times New Roman" w:hAnsi="Calibri" w:cs="Calibri"/>
                <w:b/>
                <w:bCs/>
                <w:color w:val="FF0000"/>
                <w:sz w:val="20"/>
                <w:szCs w:val="20"/>
              </w:rPr>
              <w:t xml:space="preserve"> un </w:t>
            </w:r>
            <w:proofErr w:type="spellStart"/>
            <w:r w:rsidRPr="00E45143">
              <w:rPr>
                <w:rFonts w:ascii="Calibri" w:eastAsia="Times New Roman" w:hAnsi="Calibri" w:cs="Calibri"/>
                <w:b/>
                <w:bCs/>
                <w:color w:val="FF0000"/>
                <w:sz w:val="20"/>
                <w:szCs w:val="20"/>
              </w:rPr>
              <w:t>año</w:t>
            </w:r>
            <w:proofErr w:type="spellEnd"/>
            <w:r w:rsidRPr="00E45143">
              <w:rPr>
                <w:rFonts w:ascii="Calibri" w:eastAsia="Times New Roman" w:hAnsi="Calibri" w:cs="Calibri"/>
                <w:b/>
                <w:bCs/>
                <w:color w:val="FF0000"/>
                <w:sz w:val="20"/>
                <w:szCs w:val="20"/>
              </w:rPr>
              <w:t>:</w:t>
            </w:r>
          </w:p>
        </w:tc>
      </w:tr>
      <w:tr w:rsidR="00496AC9" w:rsidRPr="00BD0799" w14:paraId="40F068D9" w14:textId="77777777" w:rsidTr="00496AC9">
        <w:trPr>
          <w:trHeight w:val="320"/>
        </w:trPr>
        <w:tc>
          <w:tcPr>
            <w:tcW w:w="4855" w:type="dxa"/>
            <w:shd w:val="clear" w:color="auto" w:fill="auto"/>
            <w:vAlign w:val="center"/>
            <w:hideMark/>
          </w:tcPr>
          <w:p w14:paraId="675CA2B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In contrast, Mortality alone does not give a complete picture of the burden of disease borne by individuals in different populations.</w:t>
            </w:r>
          </w:p>
        </w:tc>
        <w:tc>
          <w:tcPr>
            <w:tcW w:w="4410" w:type="dxa"/>
            <w:shd w:val="clear" w:color="auto" w:fill="auto"/>
            <w:vAlign w:val="center"/>
            <w:hideMark/>
          </w:tcPr>
          <w:p w14:paraId="67DA454D"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En revanche, la Mortalité seule ne donne pas une image complète du fardeau de morbidité portée par les individus appartenant à des populations différentes.</w:t>
            </w:r>
          </w:p>
        </w:tc>
        <w:tc>
          <w:tcPr>
            <w:tcW w:w="5310" w:type="dxa"/>
            <w:shd w:val="clear" w:color="auto" w:fill="auto"/>
            <w:vAlign w:val="center"/>
            <w:hideMark/>
          </w:tcPr>
          <w:p w14:paraId="3BA1957B"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Por el contrario, la mortalidad por sí sola no ofrece una imagen completa de la carga de enfermedad que soportan los individuos en diferentes poblaciones.</w:t>
            </w:r>
          </w:p>
        </w:tc>
      </w:tr>
      <w:tr w:rsidR="00496AC9" w:rsidRPr="00BD0799" w14:paraId="3CE7B3E7" w14:textId="77777777" w:rsidTr="00496AC9">
        <w:trPr>
          <w:trHeight w:val="320"/>
        </w:trPr>
        <w:tc>
          <w:tcPr>
            <w:tcW w:w="4855" w:type="dxa"/>
            <w:shd w:val="clear" w:color="auto" w:fill="auto"/>
            <w:vAlign w:val="center"/>
            <w:hideMark/>
          </w:tcPr>
          <w:p w14:paraId="48FF9C1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Assessing  the health of a population by both mortality and morbidity provides a more encompassing view on health issues affecting that population. The sum of these DALYs across the population, can be thought of as a measurement of the gap between current health status and an ideal health situation where the entire population lives to an advanced age, free of disease and disability.</w:t>
            </w:r>
          </w:p>
        </w:tc>
        <w:tc>
          <w:tcPr>
            <w:tcW w:w="4410" w:type="dxa"/>
            <w:shd w:val="clear" w:color="auto" w:fill="auto"/>
            <w:vAlign w:val="center"/>
            <w:hideMark/>
          </w:tcPr>
          <w:p w14:paraId="11132965"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L’évaluation de la santé d’une population en termes de mortalité et de morbidité fournit une vision plus globale des problèmes de santé qui la concernent. La somme de ces AVAI dans la population peut être considérée comme une mesure de l’écart entre l’état de santé actuel et un idéal où toute la population vit à un âge avancé, sans maladie ni handicap. </w:t>
            </w:r>
          </w:p>
        </w:tc>
        <w:tc>
          <w:tcPr>
            <w:tcW w:w="5310" w:type="dxa"/>
            <w:shd w:val="clear" w:color="auto" w:fill="auto"/>
            <w:vAlign w:val="center"/>
            <w:hideMark/>
          </w:tcPr>
          <w:p w14:paraId="2727CCC7" w14:textId="015CF30A"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 xml:space="preserve">Evaluar la salud de una población tanto por mortalidad como por morbilidad proporciona una visión más amplia de los problemas de salud que afectan a esa población. La suma de estos AVAD en toda la población puede considerarse como una medida </w:t>
            </w:r>
            <w:r w:rsidR="004D777B" w:rsidRPr="004D777B">
              <w:rPr>
                <w:rFonts w:ascii="Calibri" w:eastAsia="Times New Roman" w:hAnsi="Calibri" w:cs="Calibri"/>
                <w:b/>
                <w:bCs/>
                <w:color w:val="FF0000"/>
                <w:sz w:val="20"/>
                <w:szCs w:val="20"/>
                <w:lang w:val="es-ES"/>
              </w:rPr>
              <w:t>del hueco</w:t>
            </w:r>
            <w:r w:rsidRPr="00E56DFA">
              <w:rPr>
                <w:rFonts w:ascii="Calibri" w:eastAsia="Times New Roman" w:hAnsi="Calibri" w:cs="Calibri"/>
                <w:color w:val="000000"/>
                <w:sz w:val="20"/>
                <w:szCs w:val="20"/>
                <w:lang w:val="es-ES"/>
              </w:rPr>
              <w:t xml:space="preserve"> entre el estado de salud actual y una situación de salud ideal donde toda la población vive hasta una edad avanzada, libre de enfermedades y discapacidades.</w:t>
            </w:r>
          </w:p>
        </w:tc>
      </w:tr>
      <w:tr w:rsidR="00496AC9" w:rsidRPr="00BD0799" w14:paraId="4430637C" w14:textId="77777777" w:rsidTr="00496AC9">
        <w:trPr>
          <w:trHeight w:val="320"/>
        </w:trPr>
        <w:tc>
          <w:tcPr>
            <w:tcW w:w="4855" w:type="dxa"/>
            <w:shd w:val="clear" w:color="auto" w:fill="auto"/>
            <w:vAlign w:val="center"/>
            <w:hideMark/>
          </w:tcPr>
          <w:p w14:paraId="73AC1B16"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The DALY for a disease or health condition are calculated as the sum of the Years of Life Lost (YLL) due to premature mortality in the population and the Years Lost due to Disability (YLD) for people living with the health condition or its consequences.</w:t>
            </w:r>
          </w:p>
        </w:tc>
        <w:tc>
          <w:tcPr>
            <w:tcW w:w="4410" w:type="dxa"/>
            <w:shd w:val="clear" w:color="auto" w:fill="auto"/>
            <w:vAlign w:val="center"/>
            <w:hideMark/>
          </w:tcPr>
          <w:p w14:paraId="2C981D85"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L'AVAI d'une maladie ou d'un problème de santé correspond à la somme des années de vie perdues en raison de la mortalité prématurée (APVP) dans la population et des années perdues en raison d'une invalidité (AVI) pour les personnes vivant avec la maladie ou le problème de santé ou ses conséquences.</w:t>
            </w:r>
          </w:p>
        </w:tc>
        <w:tc>
          <w:tcPr>
            <w:tcW w:w="5310" w:type="dxa"/>
            <w:shd w:val="clear" w:color="auto" w:fill="auto"/>
            <w:vAlign w:val="center"/>
            <w:hideMark/>
          </w:tcPr>
          <w:p w14:paraId="62B13AFA"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El AVAD para una enfermedad o afección de salud se calcula como la suma de los Años de Vida Perdidos (AVP) debido a mortalidad prematura en la población y los Años Perdidos por Discapacidad (APD) para las personas que viven con la afección o sus consecuencias.</w:t>
            </w:r>
          </w:p>
        </w:tc>
      </w:tr>
      <w:tr w:rsidR="00496AC9" w:rsidRPr="00BD0799" w14:paraId="54B4C009" w14:textId="77777777" w:rsidTr="00496AC9">
        <w:trPr>
          <w:trHeight w:val="320"/>
        </w:trPr>
        <w:tc>
          <w:tcPr>
            <w:tcW w:w="4855" w:type="dxa"/>
            <w:shd w:val="clear" w:color="auto" w:fill="auto"/>
            <w:vAlign w:val="center"/>
            <w:hideMark/>
          </w:tcPr>
          <w:p w14:paraId="7F86DA6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In general, we see that burden rates across the world have declined between 2000 and 2015. However, this decline varies from one country to another. In general, Sub-Saharan Africa has the highest burden rates.</w:t>
            </w:r>
          </w:p>
        </w:tc>
        <w:tc>
          <w:tcPr>
            <w:tcW w:w="4410" w:type="dxa"/>
            <w:shd w:val="clear" w:color="auto" w:fill="auto"/>
            <w:vAlign w:val="center"/>
            <w:hideMark/>
          </w:tcPr>
          <w:p w14:paraId="7376487C"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De manière générale, nous constatons que les taux des différentes mesures de fardeau ont diminué entre 2000 et 2015. Cependant, cette baisse varie d'un pays à l'autre. En général, l'Afrique subsaharienne a les taux de fardeau les plus élevés.</w:t>
            </w:r>
          </w:p>
        </w:tc>
        <w:tc>
          <w:tcPr>
            <w:tcW w:w="5310" w:type="dxa"/>
            <w:shd w:val="clear" w:color="auto" w:fill="auto"/>
            <w:vAlign w:val="center"/>
            <w:hideMark/>
          </w:tcPr>
          <w:p w14:paraId="1BC7A294"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En general, vemos que las tasas de carga en todo el mundo han disminuido entre 2000 y 2015. Sin embargo, esta disminución varía de un país a otro. En general, África subsahariana tiene las tasas de carga más altas.</w:t>
            </w:r>
          </w:p>
        </w:tc>
      </w:tr>
      <w:tr w:rsidR="00496AC9" w:rsidRPr="00BD0799" w14:paraId="0167E067" w14:textId="77777777" w:rsidTr="00496AC9">
        <w:trPr>
          <w:trHeight w:val="320"/>
        </w:trPr>
        <w:tc>
          <w:tcPr>
            <w:tcW w:w="4855" w:type="dxa"/>
            <w:shd w:val="clear" w:color="auto" w:fill="auto"/>
            <w:vAlign w:val="center"/>
            <w:hideMark/>
          </w:tcPr>
          <w:p w14:paraId="637CA64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Country-level profiles for all causes of burden</w:t>
            </w:r>
          </w:p>
        </w:tc>
        <w:tc>
          <w:tcPr>
            <w:tcW w:w="4410" w:type="dxa"/>
            <w:shd w:val="clear" w:color="auto" w:fill="auto"/>
            <w:vAlign w:val="center"/>
            <w:hideMark/>
          </w:tcPr>
          <w:p w14:paraId="40051D42"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Profils des pays pour toutes causes de fardeau</w:t>
            </w:r>
          </w:p>
        </w:tc>
        <w:tc>
          <w:tcPr>
            <w:tcW w:w="5310" w:type="dxa"/>
            <w:shd w:val="clear" w:color="auto" w:fill="auto"/>
            <w:vAlign w:val="center"/>
            <w:hideMark/>
          </w:tcPr>
          <w:p w14:paraId="1F4050C9"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Perfiles a nivel de país para todas las causas de carga</w:t>
            </w:r>
          </w:p>
        </w:tc>
      </w:tr>
      <w:tr w:rsidR="00496AC9" w:rsidRPr="00BD0799" w14:paraId="5A391574" w14:textId="77777777" w:rsidTr="00496AC9">
        <w:trPr>
          <w:trHeight w:val="320"/>
        </w:trPr>
        <w:tc>
          <w:tcPr>
            <w:tcW w:w="4855" w:type="dxa"/>
            <w:shd w:val="clear" w:color="auto" w:fill="auto"/>
            <w:vAlign w:val="center"/>
            <w:hideMark/>
          </w:tcPr>
          <w:p w14:paraId="0AAA90A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Country-level profiles by types of cause</w:t>
            </w:r>
          </w:p>
        </w:tc>
        <w:tc>
          <w:tcPr>
            <w:tcW w:w="4410" w:type="dxa"/>
            <w:shd w:val="clear" w:color="auto" w:fill="auto"/>
            <w:vAlign w:val="center"/>
            <w:hideMark/>
          </w:tcPr>
          <w:p w14:paraId="4C7C25E7"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Profils des pays par type de cause</w:t>
            </w:r>
          </w:p>
        </w:tc>
        <w:tc>
          <w:tcPr>
            <w:tcW w:w="5310" w:type="dxa"/>
            <w:shd w:val="clear" w:color="auto" w:fill="auto"/>
            <w:vAlign w:val="center"/>
            <w:hideMark/>
          </w:tcPr>
          <w:p w14:paraId="51C6FF32"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Perfiles a nivel de país por tipo de causa</w:t>
            </w:r>
          </w:p>
        </w:tc>
      </w:tr>
      <w:tr w:rsidR="00496AC9" w:rsidRPr="00BD0799" w14:paraId="6D2152E7" w14:textId="77777777" w:rsidTr="00496AC9">
        <w:trPr>
          <w:trHeight w:val="320"/>
        </w:trPr>
        <w:tc>
          <w:tcPr>
            <w:tcW w:w="4855" w:type="dxa"/>
            <w:shd w:val="clear" w:color="auto" w:fill="auto"/>
            <w:vAlign w:val="center"/>
            <w:hideMark/>
          </w:tcPr>
          <w:p w14:paraId="17B8611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Country-level profiles by sex</w:t>
            </w:r>
          </w:p>
        </w:tc>
        <w:tc>
          <w:tcPr>
            <w:tcW w:w="4410" w:type="dxa"/>
            <w:shd w:val="clear" w:color="auto" w:fill="auto"/>
            <w:vAlign w:val="center"/>
            <w:hideMark/>
          </w:tcPr>
          <w:p w14:paraId="17708233"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Profils des pays par sexe</w:t>
            </w:r>
          </w:p>
        </w:tc>
        <w:tc>
          <w:tcPr>
            <w:tcW w:w="5310" w:type="dxa"/>
            <w:shd w:val="clear" w:color="auto" w:fill="auto"/>
            <w:vAlign w:val="center"/>
            <w:hideMark/>
          </w:tcPr>
          <w:p w14:paraId="523F9AC5"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Perfiles a nivel de país por sexo</w:t>
            </w:r>
          </w:p>
        </w:tc>
      </w:tr>
      <w:tr w:rsidR="00496AC9" w:rsidRPr="00BD0799" w14:paraId="48429B35" w14:textId="77777777" w:rsidTr="00496AC9">
        <w:trPr>
          <w:trHeight w:val="320"/>
        </w:trPr>
        <w:tc>
          <w:tcPr>
            <w:tcW w:w="4855" w:type="dxa"/>
            <w:shd w:val="clear" w:color="auto" w:fill="auto"/>
            <w:vAlign w:val="center"/>
            <w:hideMark/>
          </w:tcPr>
          <w:p w14:paraId="002F857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Country-level profiles by age</w:t>
            </w:r>
          </w:p>
        </w:tc>
        <w:tc>
          <w:tcPr>
            <w:tcW w:w="4410" w:type="dxa"/>
            <w:shd w:val="clear" w:color="auto" w:fill="auto"/>
            <w:vAlign w:val="center"/>
            <w:hideMark/>
          </w:tcPr>
          <w:p w14:paraId="3A21166E"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Profils des pays par âge</w:t>
            </w:r>
          </w:p>
        </w:tc>
        <w:tc>
          <w:tcPr>
            <w:tcW w:w="5310" w:type="dxa"/>
            <w:shd w:val="clear" w:color="auto" w:fill="auto"/>
            <w:vAlign w:val="center"/>
            <w:hideMark/>
          </w:tcPr>
          <w:p w14:paraId="226643C5"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Perfiles a nivel de país por edad</w:t>
            </w:r>
          </w:p>
        </w:tc>
      </w:tr>
      <w:tr w:rsidR="00496AC9" w:rsidRPr="006548ED" w14:paraId="7AC2543F" w14:textId="77777777" w:rsidTr="00496AC9">
        <w:trPr>
          <w:trHeight w:val="320"/>
        </w:trPr>
        <w:tc>
          <w:tcPr>
            <w:tcW w:w="4855" w:type="dxa"/>
            <w:shd w:val="clear" w:color="auto" w:fill="auto"/>
            <w:vAlign w:val="center"/>
            <w:hideMark/>
          </w:tcPr>
          <w:p w14:paraId="14A0663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WHO region-level profiles</w:t>
            </w:r>
          </w:p>
        </w:tc>
        <w:tc>
          <w:tcPr>
            <w:tcW w:w="4410" w:type="dxa"/>
            <w:shd w:val="clear" w:color="auto" w:fill="auto"/>
            <w:vAlign w:val="center"/>
            <w:hideMark/>
          </w:tcPr>
          <w:p w14:paraId="687E5206"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Profils des régions de l'OMS</w:t>
            </w:r>
          </w:p>
        </w:tc>
        <w:tc>
          <w:tcPr>
            <w:tcW w:w="5310" w:type="dxa"/>
            <w:shd w:val="clear" w:color="auto" w:fill="auto"/>
            <w:vAlign w:val="center"/>
            <w:hideMark/>
          </w:tcPr>
          <w:p w14:paraId="511DAEA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Perfiles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regionales</w:t>
            </w:r>
            <w:proofErr w:type="spellEnd"/>
            <w:r w:rsidRPr="00496AC9">
              <w:rPr>
                <w:rFonts w:ascii="Calibri" w:eastAsia="Times New Roman" w:hAnsi="Calibri" w:cs="Calibri"/>
                <w:color w:val="000000"/>
                <w:sz w:val="20"/>
                <w:szCs w:val="20"/>
              </w:rPr>
              <w:t xml:space="preserve"> de la OMS</w:t>
            </w:r>
          </w:p>
        </w:tc>
      </w:tr>
      <w:tr w:rsidR="00496AC9" w:rsidRPr="00BD0799" w14:paraId="69AE3EAB" w14:textId="77777777" w:rsidTr="00496AC9">
        <w:trPr>
          <w:trHeight w:val="320"/>
        </w:trPr>
        <w:tc>
          <w:tcPr>
            <w:tcW w:w="4855" w:type="dxa"/>
            <w:shd w:val="clear" w:color="auto" w:fill="auto"/>
            <w:vAlign w:val="center"/>
            <w:hideMark/>
          </w:tcPr>
          <w:p w14:paraId="4A79090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World Bank Income-level profiles</w:t>
            </w:r>
          </w:p>
        </w:tc>
        <w:tc>
          <w:tcPr>
            <w:tcW w:w="4410" w:type="dxa"/>
            <w:shd w:val="clear" w:color="auto" w:fill="auto"/>
            <w:vAlign w:val="center"/>
            <w:hideMark/>
          </w:tcPr>
          <w:p w14:paraId="205B22F6"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Profils des groupes de revenu de la Banque Mondiale</w:t>
            </w:r>
          </w:p>
        </w:tc>
        <w:tc>
          <w:tcPr>
            <w:tcW w:w="5310" w:type="dxa"/>
            <w:shd w:val="clear" w:color="auto" w:fill="auto"/>
            <w:vAlign w:val="center"/>
            <w:hideMark/>
          </w:tcPr>
          <w:p w14:paraId="635908AA"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Perfiles de los grupos de ingresos del Banco Mundial</w:t>
            </w:r>
          </w:p>
        </w:tc>
      </w:tr>
      <w:tr w:rsidR="00496AC9" w:rsidRPr="006548ED" w14:paraId="20BD38D8" w14:textId="77777777" w:rsidTr="00496AC9">
        <w:trPr>
          <w:trHeight w:val="320"/>
        </w:trPr>
        <w:tc>
          <w:tcPr>
            <w:tcW w:w="4855" w:type="dxa"/>
            <w:shd w:val="clear" w:color="auto" w:fill="auto"/>
            <w:vAlign w:val="center"/>
            <w:hideMark/>
          </w:tcPr>
          <w:p w14:paraId="1CA1F9C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Leading causes of burden</w:t>
            </w:r>
          </w:p>
        </w:tc>
        <w:tc>
          <w:tcPr>
            <w:tcW w:w="4410" w:type="dxa"/>
            <w:shd w:val="clear" w:color="auto" w:fill="auto"/>
            <w:vAlign w:val="center"/>
            <w:hideMark/>
          </w:tcPr>
          <w:p w14:paraId="0CF9255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Causes </w:t>
            </w:r>
            <w:proofErr w:type="spellStart"/>
            <w:r w:rsidRPr="00496AC9">
              <w:rPr>
                <w:rFonts w:ascii="Calibri" w:eastAsia="Times New Roman" w:hAnsi="Calibri" w:cs="Calibri"/>
                <w:color w:val="000000"/>
                <w:sz w:val="20"/>
                <w:szCs w:val="20"/>
              </w:rPr>
              <w:t>principales</w:t>
            </w:r>
            <w:proofErr w:type="spellEnd"/>
            <w:r w:rsidRPr="00496AC9">
              <w:rPr>
                <w:rFonts w:ascii="Calibri" w:eastAsia="Times New Roman" w:hAnsi="Calibri" w:cs="Calibri"/>
                <w:color w:val="000000"/>
                <w:sz w:val="20"/>
                <w:szCs w:val="20"/>
              </w:rPr>
              <w:t xml:space="preserve"> de </w:t>
            </w:r>
            <w:proofErr w:type="spellStart"/>
            <w:r w:rsidRPr="00496AC9">
              <w:rPr>
                <w:rFonts w:ascii="Calibri" w:eastAsia="Times New Roman" w:hAnsi="Calibri" w:cs="Calibri"/>
                <w:color w:val="000000"/>
                <w:sz w:val="20"/>
                <w:szCs w:val="20"/>
              </w:rPr>
              <w:t>fardeau</w:t>
            </w:r>
            <w:proofErr w:type="spellEnd"/>
          </w:p>
        </w:tc>
        <w:tc>
          <w:tcPr>
            <w:tcW w:w="5310" w:type="dxa"/>
            <w:shd w:val="clear" w:color="auto" w:fill="auto"/>
            <w:vAlign w:val="center"/>
            <w:hideMark/>
          </w:tcPr>
          <w:p w14:paraId="4D1B05E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Principales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causas</w:t>
            </w:r>
            <w:proofErr w:type="spellEnd"/>
            <w:r w:rsidRPr="00496AC9">
              <w:rPr>
                <w:rFonts w:ascii="Calibri" w:eastAsia="Times New Roman" w:hAnsi="Calibri" w:cs="Calibri"/>
                <w:color w:val="000000"/>
                <w:sz w:val="20"/>
                <w:szCs w:val="20"/>
              </w:rPr>
              <w:t xml:space="preserve"> de </w:t>
            </w:r>
            <w:proofErr w:type="spellStart"/>
            <w:r w:rsidRPr="00496AC9">
              <w:rPr>
                <w:rFonts w:ascii="Calibri" w:eastAsia="Times New Roman" w:hAnsi="Calibri" w:cs="Calibri"/>
                <w:color w:val="000000"/>
                <w:sz w:val="20"/>
                <w:szCs w:val="20"/>
              </w:rPr>
              <w:t>carga</w:t>
            </w:r>
            <w:proofErr w:type="spellEnd"/>
          </w:p>
        </w:tc>
      </w:tr>
      <w:tr w:rsidR="00496AC9" w:rsidRPr="00BD0799" w14:paraId="4F2D5548" w14:textId="77777777" w:rsidTr="00496AC9">
        <w:trPr>
          <w:trHeight w:val="320"/>
        </w:trPr>
        <w:tc>
          <w:tcPr>
            <w:tcW w:w="4855" w:type="dxa"/>
            <w:shd w:val="clear" w:color="auto" w:fill="auto"/>
            <w:vAlign w:val="center"/>
            <w:hideMark/>
          </w:tcPr>
          <w:p w14:paraId="5D85D1F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This </w:t>
            </w:r>
            <w:proofErr w:type="spellStart"/>
            <w:r w:rsidRPr="00496AC9">
              <w:rPr>
                <w:rFonts w:ascii="Calibri" w:eastAsia="Times New Roman" w:hAnsi="Calibri" w:cs="Calibri"/>
                <w:color w:val="000000"/>
                <w:sz w:val="20"/>
                <w:szCs w:val="20"/>
              </w:rPr>
              <w:t>ShinyApp</w:t>
            </w:r>
            <w:proofErr w:type="spellEnd"/>
            <w:r w:rsidRPr="00496AC9">
              <w:rPr>
                <w:rFonts w:ascii="Calibri" w:eastAsia="Times New Roman" w:hAnsi="Calibri" w:cs="Calibri"/>
                <w:color w:val="000000"/>
                <w:sz w:val="20"/>
                <w:szCs w:val="20"/>
              </w:rPr>
              <w:t xml:space="preserve"> application provides a simple and convenient way to review data on the burden of disease and disability across the world – by cause, gender, age, WHO region, WBI group, and country. This application can be explored by anyone or any country.</w:t>
            </w:r>
          </w:p>
        </w:tc>
        <w:tc>
          <w:tcPr>
            <w:tcW w:w="4410" w:type="dxa"/>
            <w:shd w:val="clear" w:color="auto" w:fill="auto"/>
            <w:vAlign w:val="center"/>
            <w:hideMark/>
          </w:tcPr>
          <w:p w14:paraId="71D5478C"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Cette application (</w:t>
            </w:r>
            <w:proofErr w:type="spellStart"/>
            <w:r w:rsidRPr="00E56DFA">
              <w:rPr>
                <w:rFonts w:ascii="Calibri" w:eastAsia="Times New Roman" w:hAnsi="Calibri" w:cs="Calibri"/>
                <w:color w:val="000000"/>
                <w:sz w:val="20"/>
                <w:szCs w:val="20"/>
                <w:lang w:val="fr-FR"/>
              </w:rPr>
              <w:t>ShinyApp</w:t>
            </w:r>
            <w:proofErr w:type="spellEnd"/>
            <w:r w:rsidRPr="00E56DFA">
              <w:rPr>
                <w:rFonts w:ascii="Calibri" w:eastAsia="Times New Roman" w:hAnsi="Calibri" w:cs="Calibri"/>
                <w:color w:val="000000"/>
                <w:sz w:val="20"/>
                <w:szCs w:val="20"/>
                <w:lang w:val="fr-FR"/>
              </w:rPr>
              <w:t>) fournit un moyen simple et pratique de passer en revue les données sur le fardeau des maladies et de l'incapacité dans le monde – par cause, sexe, âge, région OMS, groupe Banque Mondiale et pays. Cette application peut être explorée par n'importe qui ou n'importe quel pays.</w:t>
            </w:r>
          </w:p>
        </w:tc>
        <w:tc>
          <w:tcPr>
            <w:tcW w:w="5310" w:type="dxa"/>
            <w:shd w:val="clear" w:color="auto" w:fill="auto"/>
            <w:vAlign w:val="center"/>
            <w:hideMark/>
          </w:tcPr>
          <w:p w14:paraId="1E26BCFF" w14:textId="5639C1FB"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Esta aplicación (</w:t>
            </w:r>
            <w:proofErr w:type="spellStart"/>
            <w:r w:rsidRPr="00E56DFA">
              <w:rPr>
                <w:rFonts w:ascii="Calibri" w:eastAsia="Times New Roman" w:hAnsi="Calibri" w:cs="Calibri"/>
                <w:color w:val="000000"/>
                <w:sz w:val="20"/>
                <w:szCs w:val="20"/>
                <w:lang w:val="es-ES"/>
              </w:rPr>
              <w:t>ShinyApp</w:t>
            </w:r>
            <w:proofErr w:type="spellEnd"/>
            <w:r w:rsidRPr="00E56DFA">
              <w:rPr>
                <w:rFonts w:ascii="Calibri" w:eastAsia="Times New Roman" w:hAnsi="Calibri" w:cs="Calibri"/>
                <w:color w:val="000000"/>
                <w:sz w:val="20"/>
                <w:szCs w:val="20"/>
                <w:lang w:val="es-ES"/>
              </w:rPr>
              <w:t xml:space="preserve">) proporciona una manera simple y conveniente de revisar los datos sobre la carga de la enfermedad y la discapacidad en todo el mundo: por causa, género, edad, región de la OMS, grupo del WBI y país. Esta aplicación puede ser explorada por </w:t>
            </w:r>
            <w:r w:rsidRPr="00BD0799">
              <w:rPr>
                <w:rFonts w:ascii="Calibri" w:eastAsia="Times New Roman" w:hAnsi="Calibri" w:cs="Calibri"/>
                <w:b/>
                <w:bCs/>
                <w:color w:val="FF0000"/>
                <w:sz w:val="20"/>
                <w:szCs w:val="20"/>
                <w:lang w:val="es-ES"/>
              </w:rPr>
              <w:t>cualquier</w:t>
            </w:r>
            <w:r w:rsidR="00BD0799" w:rsidRPr="00BD0799">
              <w:rPr>
                <w:rFonts w:ascii="Calibri" w:eastAsia="Times New Roman" w:hAnsi="Calibri" w:cs="Calibri"/>
                <w:b/>
                <w:bCs/>
                <w:color w:val="FF0000"/>
                <w:sz w:val="20"/>
                <w:szCs w:val="20"/>
                <w:lang w:val="es-ES"/>
              </w:rPr>
              <w:t>a</w:t>
            </w:r>
            <w:r w:rsidRPr="00E56DFA">
              <w:rPr>
                <w:rFonts w:ascii="Calibri" w:eastAsia="Times New Roman" w:hAnsi="Calibri" w:cs="Calibri"/>
                <w:color w:val="000000"/>
                <w:sz w:val="20"/>
                <w:szCs w:val="20"/>
                <w:lang w:val="es-ES"/>
              </w:rPr>
              <w:t xml:space="preserve"> persona o país.</w:t>
            </w:r>
          </w:p>
        </w:tc>
      </w:tr>
      <w:tr w:rsidR="00496AC9" w:rsidRPr="00BD0799" w14:paraId="50378628" w14:textId="77777777" w:rsidTr="00496AC9">
        <w:trPr>
          <w:trHeight w:val="320"/>
        </w:trPr>
        <w:tc>
          <w:tcPr>
            <w:tcW w:w="4855" w:type="dxa"/>
            <w:shd w:val="clear" w:color="auto" w:fill="auto"/>
            <w:vAlign w:val="center"/>
            <w:hideMark/>
          </w:tcPr>
          <w:p w14:paraId="795190C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Please visit the WHO website for more information on the data.</w:t>
            </w:r>
          </w:p>
        </w:tc>
        <w:tc>
          <w:tcPr>
            <w:tcW w:w="4410" w:type="dxa"/>
            <w:shd w:val="clear" w:color="auto" w:fill="auto"/>
            <w:vAlign w:val="center"/>
            <w:hideMark/>
          </w:tcPr>
          <w:p w14:paraId="492CB08F"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Veuillez visiter le site de l'OMS pour plus d'informations sur les données.</w:t>
            </w:r>
          </w:p>
        </w:tc>
        <w:tc>
          <w:tcPr>
            <w:tcW w:w="5310" w:type="dxa"/>
            <w:shd w:val="clear" w:color="auto" w:fill="auto"/>
            <w:vAlign w:val="center"/>
            <w:hideMark/>
          </w:tcPr>
          <w:p w14:paraId="527E3EAE" w14:textId="6D97621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BD0799">
              <w:rPr>
                <w:rFonts w:ascii="Calibri" w:eastAsia="Times New Roman" w:hAnsi="Calibri" w:cs="Calibri"/>
                <w:b/>
                <w:bCs/>
                <w:color w:val="FF0000"/>
                <w:sz w:val="20"/>
                <w:szCs w:val="20"/>
                <w:lang w:val="es-ES"/>
              </w:rPr>
              <w:t>Visite</w:t>
            </w:r>
            <w:r w:rsidR="00BD0799" w:rsidRPr="00BD0799">
              <w:rPr>
                <w:rFonts w:ascii="Calibri" w:eastAsia="Times New Roman" w:hAnsi="Calibri" w:cs="Calibri"/>
                <w:b/>
                <w:bCs/>
                <w:color w:val="FF0000"/>
                <w:sz w:val="20"/>
                <w:szCs w:val="20"/>
                <w:lang w:val="es-ES"/>
              </w:rPr>
              <w:t>n</w:t>
            </w:r>
            <w:r w:rsidR="00BD0799">
              <w:rPr>
                <w:rFonts w:ascii="Calibri" w:eastAsia="Times New Roman" w:hAnsi="Calibri" w:cs="Calibri"/>
                <w:b/>
                <w:bCs/>
                <w:color w:val="FF0000"/>
                <w:sz w:val="20"/>
                <w:szCs w:val="20"/>
                <w:lang w:val="es-ES"/>
              </w:rPr>
              <w:t xml:space="preserve"> la página </w:t>
            </w:r>
            <w:r w:rsidRPr="00E56DFA">
              <w:rPr>
                <w:rFonts w:ascii="Calibri" w:eastAsia="Times New Roman" w:hAnsi="Calibri" w:cs="Calibri"/>
                <w:color w:val="000000"/>
                <w:sz w:val="20"/>
                <w:szCs w:val="20"/>
                <w:lang w:val="es-ES"/>
              </w:rPr>
              <w:t>web de la OMS para obtener más información sobre los datos.</w:t>
            </w:r>
          </w:p>
        </w:tc>
      </w:tr>
      <w:tr w:rsidR="00496AC9" w:rsidRPr="00BD0799" w14:paraId="76E1A954" w14:textId="77777777" w:rsidTr="00496AC9">
        <w:trPr>
          <w:trHeight w:val="320"/>
        </w:trPr>
        <w:tc>
          <w:tcPr>
            <w:tcW w:w="4855" w:type="dxa"/>
            <w:shd w:val="clear" w:color="auto" w:fill="auto"/>
            <w:vAlign w:val="center"/>
            <w:hideMark/>
          </w:tcPr>
          <w:p w14:paraId="3124F534"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Any questions or comments can be sent to:</w:t>
            </w:r>
          </w:p>
        </w:tc>
        <w:tc>
          <w:tcPr>
            <w:tcW w:w="4410" w:type="dxa"/>
            <w:shd w:val="clear" w:color="auto" w:fill="auto"/>
            <w:vAlign w:val="center"/>
            <w:hideMark/>
          </w:tcPr>
          <w:p w14:paraId="71DF868F"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Toutes questions ou commentaires peuvent être envoyés à:</w:t>
            </w:r>
          </w:p>
        </w:tc>
        <w:tc>
          <w:tcPr>
            <w:tcW w:w="5310" w:type="dxa"/>
            <w:shd w:val="clear" w:color="auto" w:fill="auto"/>
            <w:vAlign w:val="center"/>
            <w:hideMark/>
          </w:tcPr>
          <w:p w14:paraId="2739FE68" w14:textId="639B01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BD0799">
              <w:rPr>
                <w:rFonts w:ascii="Calibri" w:eastAsia="Times New Roman" w:hAnsi="Calibri" w:cs="Calibri"/>
                <w:b/>
                <w:bCs/>
                <w:color w:val="FF0000"/>
                <w:sz w:val="20"/>
                <w:szCs w:val="20"/>
                <w:lang w:val="es-ES"/>
              </w:rPr>
              <w:t>Cualquier</w:t>
            </w:r>
            <w:r w:rsidR="00BD0799" w:rsidRPr="00BD0799">
              <w:rPr>
                <w:rFonts w:ascii="Calibri" w:eastAsia="Times New Roman" w:hAnsi="Calibri" w:cs="Calibri"/>
                <w:b/>
                <w:bCs/>
                <w:color w:val="FF0000"/>
                <w:sz w:val="20"/>
                <w:szCs w:val="20"/>
                <w:lang w:val="es-ES"/>
              </w:rPr>
              <w:t>a</w:t>
            </w:r>
            <w:r w:rsidRPr="00E56DFA">
              <w:rPr>
                <w:rFonts w:ascii="Calibri" w:eastAsia="Times New Roman" w:hAnsi="Calibri" w:cs="Calibri"/>
                <w:color w:val="000000"/>
                <w:sz w:val="20"/>
                <w:szCs w:val="20"/>
                <w:lang w:val="es-ES"/>
              </w:rPr>
              <w:t xml:space="preserve"> pregunta o comentario puede ser enviado a:</w:t>
            </w:r>
          </w:p>
        </w:tc>
      </w:tr>
      <w:tr w:rsidR="00496AC9" w:rsidRPr="006548ED" w14:paraId="06C80252" w14:textId="77777777" w:rsidTr="00496AC9">
        <w:trPr>
          <w:trHeight w:val="320"/>
        </w:trPr>
        <w:tc>
          <w:tcPr>
            <w:tcW w:w="4855" w:type="dxa"/>
            <w:shd w:val="clear" w:color="auto" w:fill="auto"/>
            <w:vAlign w:val="center"/>
            <w:hideMark/>
          </w:tcPr>
          <w:p w14:paraId="7AA37AA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DiseaseGroup</w:t>
            </w:r>
            <w:proofErr w:type="spellEnd"/>
          </w:p>
        </w:tc>
        <w:tc>
          <w:tcPr>
            <w:tcW w:w="4410" w:type="dxa"/>
            <w:shd w:val="clear" w:color="auto" w:fill="auto"/>
            <w:vAlign w:val="center"/>
            <w:hideMark/>
          </w:tcPr>
          <w:p w14:paraId="6CA64FF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Groupe de maladies</w:t>
            </w:r>
          </w:p>
        </w:tc>
        <w:tc>
          <w:tcPr>
            <w:tcW w:w="5310" w:type="dxa"/>
            <w:shd w:val="clear" w:color="auto" w:fill="auto"/>
            <w:vAlign w:val="center"/>
            <w:hideMark/>
          </w:tcPr>
          <w:p w14:paraId="43574A3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Grupo de </w:t>
            </w:r>
            <w:proofErr w:type="spellStart"/>
            <w:r w:rsidRPr="00496AC9">
              <w:rPr>
                <w:rFonts w:ascii="Calibri" w:eastAsia="Times New Roman" w:hAnsi="Calibri" w:cs="Calibri"/>
                <w:color w:val="000000"/>
                <w:sz w:val="20"/>
                <w:szCs w:val="20"/>
              </w:rPr>
              <w:t>enfermedades</w:t>
            </w:r>
            <w:proofErr w:type="spellEnd"/>
          </w:p>
        </w:tc>
      </w:tr>
      <w:tr w:rsidR="00496AC9" w:rsidRPr="006548ED" w14:paraId="33DA0828" w14:textId="77777777" w:rsidTr="00496AC9">
        <w:trPr>
          <w:trHeight w:val="320"/>
        </w:trPr>
        <w:tc>
          <w:tcPr>
            <w:tcW w:w="4855" w:type="dxa"/>
            <w:shd w:val="clear" w:color="auto" w:fill="auto"/>
            <w:vAlign w:val="center"/>
            <w:hideMark/>
          </w:tcPr>
          <w:p w14:paraId="231CDEC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Infectious and parasitic diseases</w:t>
            </w:r>
          </w:p>
        </w:tc>
        <w:tc>
          <w:tcPr>
            <w:tcW w:w="4410" w:type="dxa"/>
            <w:shd w:val="clear" w:color="auto" w:fill="auto"/>
            <w:vAlign w:val="center"/>
            <w:hideMark/>
          </w:tcPr>
          <w:p w14:paraId="259C187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w:t>
            </w:r>
            <w:proofErr w:type="spellStart"/>
            <w:r w:rsidRPr="00496AC9">
              <w:rPr>
                <w:rFonts w:ascii="Calibri" w:eastAsia="Times New Roman" w:hAnsi="Calibri" w:cs="Calibri"/>
                <w:color w:val="000000"/>
                <w:sz w:val="20"/>
                <w:szCs w:val="20"/>
              </w:rPr>
              <w:t>infectieuses</w:t>
            </w:r>
            <w:proofErr w:type="spellEnd"/>
            <w:r w:rsidRPr="00496AC9">
              <w:rPr>
                <w:rFonts w:ascii="Calibri" w:eastAsia="Times New Roman" w:hAnsi="Calibri" w:cs="Calibri"/>
                <w:color w:val="000000"/>
                <w:sz w:val="20"/>
                <w:szCs w:val="20"/>
              </w:rPr>
              <w:t xml:space="preserve"> et </w:t>
            </w:r>
            <w:proofErr w:type="spellStart"/>
            <w:r w:rsidRPr="00496AC9">
              <w:rPr>
                <w:rFonts w:ascii="Calibri" w:eastAsia="Times New Roman" w:hAnsi="Calibri" w:cs="Calibri"/>
                <w:color w:val="000000"/>
                <w:sz w:val="20"/>
                <w:szCs w:val="20"/>
              </w:rPr>
              <w:t>parasitaires</w:t>
            </w:r>
            <w:proofErr w:type="spellEnd"/>
          </w:p>
        </w:tc>
        <w:tc>
          <w:tcPr>
            <w:tcW w:w="5310" w:type="dxa"/>
            <w:shd w:val="clear" w:color="auto" w:fill="auto"/>
            <w:vAlign w:val="center"/>
            <w:hideMark/>
          </w:tcPr>
          <w:p w14:paraId="70637DB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infecciosas</w:t>
            </w:r>
            <w:proofErr w:type="spellEnd"/>
            <w:r w:rsidRPr="00496AC9">
              <w:rPr>
                <w:rFonts w:ascii="Calibri" w:eastAsia="Times New Roman" w:hAnsi="Calibri" w:cs="Calibri"/>
                <w:color w:val="000000"/>
                <w:sz w:val="20"/>
                <w:szCs w:val="20"/>
              </w:rPr>
              <w:t xml:space="preserve"> y </w:t>
            </w:r>
            <w:proofErr w:type="spellStart"/>
            <w:r w:rsidRPr="00496AC9">
              <w:rPr>
                <w:rFonts w:ascii="Calibri" w:eastAsia="Times New Roman" w:hAnsi="Calibri" w:cs="Calibri"/>
                <w:color w:val="000000"/>
                <w:sz w:val="20"/>
                <w:szCs w:val="20"/>
              </w:rPr>
              <w:t>parasitarias</w:t>
            </w:r>
            <w:proofErr w:type="spellEnd"/>
          </w:p>
        </w:tc>
      </w:tr>
      <w:tr w:rsidR="00496AC9" w:rsidRPr="006548ED" w14:paraId="001B67A7" w14:textId="77777777" w:rsidTr="00496AC9">
        <w:trPr>
          <w:trHeight w:val="320"/>
        </w:trPr>
        <w:tc>
          <w:tcPr>
            <w:tcW w:w="4855" w:type="dxa"/>
            <w:shd w:val="clear" w:color="auto" w:fill="auto"/>
            <w:vAlign w:val="center"/>
            <w:hideMark/>
          </w:tcPr>
          <w:p w14:paraId="6080EC2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Cardiovascular diseases</w:t>
            </w:r>
          </w:p>
        </w:tc>
        <w:tc>
          <w:tcPr>
            <w:tcW w:w="4410" w:type="dxa"/>
            <w:shd w:val="clear" w:color="auto" w:fill="auto"/>
            <w:vAlign w:val="center"/>
            <w:hideMark/>
          </w:tcPr>
          <w:p w14:paraId="4CF1C3D4"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w:t>
            </w:r>
            <w:proofErr w:type="spellStart"/>
            <w:r w:rsidRPr="00496AC9">
              <w:rPr>
                <w:rFonts w:ascii="Calibri" w:eastAsia="Times New Roman" w:hAnsi="Calibri" w:cs="Calibri"/>
                <w:color w:val="000000"/>
                <w:sz w:val="20"/>
                <w:szCs w:val="20"/>
              </w:rPr>
              <w:t>cardiovasculaires</w:t>
            </w:r>
            <w:proofErr w:type="spellEnd"/>
          </w:p>
        </w:tc>
        <w:tc>
          <w:tcPr>
            <w:tcW w:w="5310" w:type="dxa"/>
            <w:shd w:val="clear" w:color="auto" w:fill="auto"/>
            <w:vAlign w:val="center"/>
            <w:hideMark/>
          </w:tcPr>
          <w:p w14:paraId="71F2866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cardiovasculares</w:t>
            </w:r>
            <w:proofErr w:type="spellEnd"/>
          </w:p>
        </w:tc>
      </w:tr>
      <w:tr w:rsidR="00496AC9" w:rsidRPr="006548ED" w14:paraId="07639F26" w14:textId="77777777" w:rsidTr="00496AC9">
        <w:trPr>
          <w:trHeight w:val="320"/>
        </w:trPr>
        <w:tc>
          <w:tcPr>
            <w:tcW w:w="4855" w:type="dxa"/>
            <w:shd w:val="clear" w:color="auto" w:fill="auto"/>
            <w:vAlign w:val="center"/>
            <w:hideMark/>
          </w:tcPr>
          <w:p w14:paraId="3C61BD9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Neonatal conditions</w:t>
            </w:r>
          </w:p>
        </w:tc>
        <w:tc>
          <w:tcPr>
            <w:tcW w:w="4410" w:type="dxa"/>
            <w:shd w:val="clear" w:color="auto" w:fill="auto"/>
            <w:vAlign w:val="center"/>
            <w:hideMark/>
          </w:tcPr>
          <w:p w14:paraId="0CB2085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Conditions </w:t>
            </w:r>
            <w:proofErr w:type="spellStart"/>
            <w:r w:rsidRPr="00496AC9">
              <w:rPr>
                <w:rFonts w:ascii="Calibri" w:eastAsia="Times New Roman" w:hAnsi="Calibri" w:cs="Calibri"/>
                <w:color w:val="000000"/>
                <w:sz w:val="20"/>
                <w:szCs w:val="20"/>
              </w:rPr>
              <w:t>néonatales</w:t>
            </w:r>
            <w:proofErr w:type="spellEnd"/>
          </w:p>
        </w:tc>
        <w:tc>
          <w:tcPr>
            <w:tcW w:w="5310" w:type="dxa"/>
            <w:shd w:val="clear" w:color="auto" w:fill="auto"/>
            <w:vAlign w:val="center"/>
            <w:hideMark/>
          </w:tcPr>
          <w:p w14:paraId="24F5DE73"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neonatales</w:t>
            </w:r>
            <w:proofErr w:type="spellEnd"/>
          </w:p>
        </w:tc>
      </w:tr>
      <w:tr w:rsidR="00496AC9" w:rsidRPr="006548ED" w14:paraId="1E115DD5" w14:textId="77777777" w:rsidTr="00496AC9">
        <w:trPr>
          <w:trHeight w:val="320"/>
        </w:trPr>
        <w:tc>
          <w:tcPr>
            <w:tcW w:w="4855" w:type="dxa"/>
            <w:shd w:val="clear" w:color="auto" w:fill="auto"/>
            <w:vAlign w:val="center"/>
            <w:hideMark/>
          </w:tcPr>
          <w:p w14:paraId="2503537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Respiratory Infectious </w:t>
            </w:r>
          </w:p>
        </w:tc>
        <w:tc>
          <w:tcPr>
            <w:tcW w:w="4410" w:type="dxa"/>
            <w:shd w:val="clear" w:color="auto" w:fill="auto"/>
            <w:vAlign w:val="center"/>
            <w:hideMark/>
          </w:tcPr>
          <w:p w14:paraId="0BA648A3"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Infections </w:t>
            </w:r>
            <w:proofErr w:type="spellStart"/>
            <w:r w:rsidRPr="00496AC9">
              <w:rPr>
                <w:rFonts w:ascii="Calibri" w:eastAsia="Times New Roman" w:hAnsi="Calibri" w:cs="Calibri"/>
                <w:color w:val="000000"/>
                <w:sz w:val="20"/>
                <w:szCs w:val="20"/>
              </w:rPr>
              <w:t>respiratoires</w:t>
            </w:r>
            <w:proofErr w:type="spellEnd"/>
          </w:p>
        </w:tc>
        <w:tc>
          <w:tcPr>
            <w:tcW w:w="5310" w:type="dxa"/>
            <w:shd w:val="clear" w:color="auto" w:fill="auto"/>
            <w:vAlign w:val="center"/>
            <w:hideMark/>
          </w:tcPr>
          <w:p w14:paraId="053D5C7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Infecciosas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respiratorias</w:t>
            </w:r>
            <w:proofErr w:type="spellEnd"/>
          </w:p>
        </w:tc>
      </w:tr>
      <w:tr w:rsidR="00496AC9" w:rsidRPr="006548ED" w14:paraId="373CFA41" w14:textId="77777777" w:rsidTr="00496AC9">
        <w:trPr>
          <w:trHeight w:val="320"/>
        </w:trPr>
        <w:tc>
          <w:tcPr>
            <w:tcW w:w="4855" w:type="dxa"/>
            <w:shd w:val="clear" w:color="auto" w:fill="auto"/>
            <w:vAlign w:val="center"/>
            <w:hideMark/>
          </w:tcPr>
          <w:p w14:paraId="6DBFA496"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Unintentional injuries</w:t>
            </w:r>
          </w:p>
        </w:tc>
        <w:tc>
          <w:tcPr>
            <w:tcW w:w="4410" w:type="dxa"/>
            <w:shd w:val="clear" w:color="auto" w:fill="auto"/>
            <w:vAlign w:val="center"/>
            <w:hideMark/>
          </w:tcPr>
          <w:p w14:paraId="6C19F79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Lésions</w:t>
            </w:r>
            <w:proofErr w:type="spellEnd"/>
            <w:r w:rsidRPr="00496AC9">
              <w:rPr>
                <w:rFonts w:ascii="Calibri" w:eastAsia="Times New Roman" w:hAnsi="Calibri" w:cs="Calibri"/>
                <w:color w:val="000000"/>
                <w:sz w:val="20"/>
                <w:szCs w:val="20"/>
              </w:rPr>
              <w:t xml:space="preserve"> non </w:t>
            </w:r>
            <w:proofErr w:type="spellStart"/>
            <w:r w:rsidRPr="00496AC9">
              <w:rPr>
                <w:rFonts w:ascii="Calibri" w:eastAsia="Times New Roman" w:hAnsi="Calibri" w:cs="Calibri"/>
                <w:color w:val="000000"/>
                <w:sz w:val="20"/>
                <w:szCs w:val="20"/>
              </w:rPr>
              <w:t>intentionnelles</w:t>
            </w:r>
            <w:proofErr w:type="spellEnd"/>
          </w:p>
        </w:tc>
        <w:tc>
          <w:tcPr>
            <w:tcW w:w="5310" w:type="dxa"/>
            <w:shd w:val="clear" w:color="auto" w:fill="auto"/>
            <w:vAlign w:val="center"/>
            <w:hideMark/>
          </w:tcPr>
          <w:p w14:paraId="3B3D3C3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Lesiones</w:t>
            </w:r>
            <w:proofErr w:type="spellEnd"/>
            <w:r w:rsidRPr="00496AC9">
              <w:rPr>
                <w:rFonts w:ascii="Calibri" w:eastAsia="Times New Roman" w:hAnsi="Calibri" w:cs="Calibri"/>
                <w:color w:val="000000"/>
                <w:sz w:val="20"/>
                <w:szCs w:val="20"/>
              </w:rPr>
              <w:t xml:space="preserve"> no </w:t>
            </w:r>
            <w:proofErr w:type="spellStart"/>
            <w:r w:rsidRPr="00496AC9">
              <w:rPr>
                <w:rFonts w:ascii="Calibri" w:eastAsia="Times New Roman" w:hAnsi="Calibri" w:cs="Calibri"/>
                <w:color w:val="000000"/>
                <w:sz w:val="20"/>
                <w:szCs w:val="20"/>
              </w:rPr>
              <w:t>intencionales</w:t>
            </w:r>
            <w:proofErr w:type="spellEnd"/>
          </w:p>
        </w:tc>
      </w:tr>
      <w:tr w:rsidR="00496AC9" w:rsidRPr="006548ED" w14:paraId="123B46C1" w14:textId="77777777" w:rsidTr="00496AC9">
        <w:trPr>
          <w:trHeight w:val="320"/>
        </w:trPr>
        <w:tc>
          <w:tcPr>
            <w:tcW w:w="4855" w:type="dxa"/>
            <w:shd w:val="clear" w:color="auto" w:fill="auto"/>
            <w:vAlign w:val="center"/>
            <w:hideMark/>
          </w:tcPr>
          <w:p w14:paraId="34D38876"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Malignant neoplasms</w:t>
            </w:r>
          </w:p>
        </w:tc>
        <w:tc>
          <w:tcPr>
            <w:tcW w:w="4410" w:type="dxa"/>
            <w:shd w:val="clear" w:color="auto" w:fill="auto"/>
            <w:vAlign w:val="center"/>
            <w:hideMark/>
          </w:tcPr>
          <w:p w14:paraId="3226F02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Tumeurs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malignes</w:t>
            </w:r>
            <w:proofErr w:type="spellEnd"/>
          </w:p>
        </w:tc>
        <w:tc>
          <w:tcPr>
            <w:tcW w:w="5310" w:type="dxa"/>
            <w:shd w:val="clear" w:color="auto" w:fill="auto"/>
            <w:vAlign w:val="center"/>
            <w:hideMark/>
          </w:tcPr>
          <w:p w14:paraId="1AD90255"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Neoplasias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malignas</w:t>
            </w:r>
            <w:proofErr w:type="spellEnd"/>
          </w:p>
        </w:tc>
      </w:tr>
      <w:tr w:rsidR="00496AC9" w:rsidRPr="00BD0799" w14:paraId="457EECBD" w14:textId="77777777" w:rsidTr="00496AC9">
        <w:trPr>
          <w:trHeight w:val="320"/>
        </w:trPr>
        <w:tc>
          <w:tcPr>
            <w:tcW w:w="4855" w:type="dxa"/>
            <w:shd w:val="clear" w:color="auto" w:fill="auto"/>
            <w:vAlign w:val="center"/>
            <w:hideMark/>
          </w:tcPr>
          <w:p w14:paraId="77B1C1E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Mental and substance use disorders</w:t>
            </w:r>
          </w:p>
        </w:tc>
        <w:tc>
          <w:tcPr>
            <w:tcW w:w="4410" w:type="dxa"/>
            <w:shd w:val="clear" w:color="auto" w:fill="auto"/>
            <w:vAlign w:val="center"/>
            <w:hideMark/>
          </w:tcPr>
          <w:p w14:paraId="7967E439"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Troubles mentaux et d'usage de substances</w:t>
            </w:r>
          </w:p>
        </w:tc>
        <w:tc>
          <w:tcPr>
            <w:tcW w:w="5310" w:type="dxa"/>
            <w:shd w:val="clear" w:color="auto" w:fill="auto"/>
            <w:vAlign w:val="center"/>
            <w:hideMark/>
          </w:tcPr>
          <w:p w14:paraId="21AB58EB"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Trastornos mentales y por abuso de sustancias</w:t>
            </w:r>
          </w:p>
        </w:tc>
      </w:tr>
      <w:tr w:rsidR="00496AC9" w:rsidRPr="006548ED" w14:paraId="7FA3D38C" w14:textId="77777777" w:rsidTr="00496AC9">
        <w:trPr>
          <w:trHeight w:val="320"/>
        </w:trPr>
        <w:tc>
          <w:tcPr>
            <w:tcW w:w="4855" w:type="dxa"/>
            <w:shd w:val="clear" w:color="auto" w:fill="auto"/>
            <w:vAlign w:val="center"/>
            <w:hideMark/>
          </w:tcPr>
          <w:p w14:paraId="6D2477D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Respiratory diseases</w:t>
            </w:r>
          </w:p>
        </w:tc>
        <w:tc>
          <w:tcPr>
            <w:tcW w:w="4410" w:type="dxa"/>
            <w:shd w:val="clear" w:color="auto" w:fill="auto"/>
            <w:vAlign w:val="center"/>
            <w:hideMark/>
          </w:tcPr>
          <w:p w14:paraId="2B158C9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w:t>
            </w:r>
            <w:proofErr w:type="spellStart"/>
            <w:r w:rsidRPr="00496AC9">
              <w:rPr>
                <w:rFonts w:ascii="Calibri" w:eastAsia="Times New Roman" w:hAnsi="Calibri" w:cs="Calibri"/>
                <w:color w:val="000000"/>
                <w:sz w:val="20"/>
                <w:szCs w:val="20"/>
              </w:rPr>
              <w:t>respiratoires</w:t>
            </w:r>
            <w:proofErr w:type="spellEnd"/>
          </w:p>
        </w:tc>
        <w:tc>
          <w:tcPr>
            <w:tcW w:w="5310" w:type="dxa"/>
            <w:shd w:val="clear" w:color="auto" w:fill="auto"/>
            <w:vAlign w:val="center"/>
            <w:hideMark/>
          </w:tcPr>
          <w:p w14:paraId="74BFDD9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respiratorias</w:t>
            </w:r>
            <w:proofErr w:type="spellEnd"/>
          </w:p>
        </w:tc>
      </w:tr>
      <w:tr w:rsidR="00496AC9" w:rsidRPr="006548ED" w14:paraId="65E23497" w14:textId="77777777" w:rsidTr="00496AC9">
        <w:trPr>
          <w:trHeight w:val="320"/>
        </w:trPr>
        <w:tc>
          <w:tcPr>
            <w:tcW w:w="4855" w:type="dxa"/>
            <w:shd w:val="clear" w:color="auto" w:fill="auto"/>
            <w:vAlign w:val="center"/>
            <w:hideMark/>
          </w:tcPr>
          <w:p w14:paraId="16F4A9E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Intentional injuries</w:t>
            </w:r>
          </w:p>
        </w:tc>
        <w:tc>
          <w:tcPr>
            <w:tcW w:w="4410" w:type="dxa"/>
            <w:shd w:val="clear" w:color="auto" w:fill="auto"/>
            <w:vAlign w:val="center"/>
            <w:hideMark/>
          </w:tcPr>
          <w:p w14:paraId="4325B7D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Blessures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intentionnelles</w:t>
            </w:r>
            <w:proofErr w:type="spellEnd"/>
          </w:p>
        </w:tc>
        <w:tc>
          <w:tcPr>
            <w:tcW w:w="5310" w:type="dxa"/>
            <w:shd w:val="clear" w:color="auto" w:fill="auto"/>
            <w:vAlign w:val="center"/>
            <w:hideMark/>
          </w:tcPr>
          <w:p w14:paraId="190B69B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Lesiones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intencionales</w:t>
            </w:r>
            <w:proofErr w:type="spellEnd"/>
          </w:p>
        </w:tc>
      </w:tr>
      <w:tr w:rsidR="00496AC9" w:rsidRPr="00BD0799" w14:paraId="26E4B2E9" w14:textId="77777777" w:rsidTr="00496AC9">
        <w:trPr>
          <w:trHeight w:val="320"/>
        </w:trPr>
        <w:tc>
          <w:tcPr>
            <w:tcW w:w="4855" w:type="dxa"/>
            <w:shd w:val="clear" w:color="auto" w:fill="auto"/>
            <w:vAlign w:val="center"/>
            <w:hideMark/>
          </w:tcPr>
          <w:p w14:paraId="092801A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Sense organ diseases</w:t>
            </w:r>
          </w:p>
        </w:tc>
        <w:tc>
          <w:tcPr>
            <w:tcW w:w="4410" w:type="dxa"/>
            <w:shd w:val="clear" w:color="auto" w:fill="auto"/>
            <w:vAlign w:val="center"/>
            <w:hideMark/>
          </w:tcPr>
          <w:p w14:paraId="5ED52B54"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des </w:t>
            </w:r>
            <w:proofErr w:type="spellStart"/>
            <w:r w:rsidRPr="00496AC9">
              <w:rPr>
                <w:rFonts w:ascii="Calibri" w:eastAsia="Times New Roman" w:hAnsi="Calibri" w:cs="Calibri"/>
                <w:color w:val="000000"/>
                <w:sz w:val="20"/>
                <w:szCs w:val="20"/>
              </w:rPr>
              <w:t>organes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sensoriels</w:t>
            </w:r>
            <w:proofErr w:type="spellEnd"/>
          </w:p>
        </w:tc>
        <w:tc>
          <w:tcPr>
            <w:tcW w:w="5310" w:type="dxa"/>
            <w:shd w:val="clear" w:color="auto" w:fill="auto"/>
            <w:vAlign w:val="center"/>
            <w:hideMark/>
          </w:tcPr>
          <w:p w14:paraId="32EC1B6B"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Enfermedades de los órganos de los sentidos</w:t>
            </w:r>
          </w:p>
        </w:tc>
      </w:tr>
      <w:tr w:rsidR="00496AC9" w:rsidRPr="006548ED" w14:paraId="57AE5113" w14:textId="77777777" w:rsidTr="00496AC9">
        <w:trPr>
          <w:trHeight w:val="320"/>
        </w:trPr>
        <w:tc>
          <w:tcPr>
            <w:tcW w:w="4855" w:type="dxa"/>
            <w:shd w:val="clear" w:color="auto" w:fill="auto"/>
            <w:vAlign w:val="center"/>
            <w:hideMark/>
          </w:tcPr>
          <w:p w14:paraId="3FC81106"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Musculoskeletal diseases</w:t>
            </w:r>
          </w:p>
        </w:tc>
        <w:tc>
          <w:tcPr>
            <w:tcW w:w="4410" w:type="dxa"/>
            <w:shd w:val="clear" w:color="auto" w:fill="auto"/>
            <w:vAlign w:val="center"/>
            <w:hideMark/>
          </w:tcPr>
          <w:p w14:paraId="7941E765"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w:t>
            </w:r>
            <w:proofErr w:type="spellStart"/>
            <w:r w:rsidRPr="00496AC9">
              <w:rPr>
                <w:rFonts w:ascii="Calibri" w:eastAsia="Times New Roman" w:hAnsi="Calibri" w:cs="Calibri"/>
                <w:color w:val="000000"/>
                <w:sz w:val="20"/>
                <w:szCs w:val="20"/>
              </w:rPr>
              <w:t>musculo-squelettiques</w:t>
            </w:r>
            <w:proofErr w:type="spellEnd"/>
          </w:p>
        </w:tc>
        <w:tc>
          <w:tcPr>
            <w:tcW w:w="5310" w:type="dxa"/>
            <w:shd w:val="clear" w:color="auto" w:fill="auto"/>
            <w:vAlign w:val="center"/>
            <w:hideMark/>
          </w:tcPr>
          <w:p w14:paraId="7057142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musculoesqueléticas</w:t>
            </w:r>
            <w:proofErr w:type="spellEnd"/>
          </w:p>
        </w:tc>
      </w:tr>
      <w:tr w:rsidR="00496AC9" w:rsidRPr="006548ED" w14:paraId="456C9ADC" w14:textId="77777777" w:rsidTr="00496AC9">
        <w:trPr>
          <w:trHeight w:val="320"/>
        </w:trPr>
        <w:tc>
          <w:tcPr>
            <w:tcW w:w="4855" w:type="dxa"/>
            <w:shd w:val="clear" w:color="auto" w:fill="auto"/>
            <w:vAlign w:val="center"/>
            <w:hideMark/>
          </w:tcPr>
          <w:p w14:paraId="3DCE03D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Digestive diseases</w:t>
            </w:r>
          </w:p>
        </w:tc>
        <w:tc>
          <w:tcPr>
            <w:tcW w:w="4410" w:type="dxa"/>
            <w:shd w:val="clear" w:color="auto" w:fill="auto"/>
            <w:vAlign w:val="center"/>
            <w:hideMark/>
          </w:tcPr>
          <w:p w14:paraId="23772EB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Maladies digestives</w:t>
            </w:r>
          </w:p>
        </w:tc>
        <w:tc>
          <w:tcPr>
            <w:tcW w:w="5310" w:type="dxa"/>
            <w:shd w:val="clear" w:color="auto" w:fill="auto"/>
            <w:vAlign w:val="center"/>
            <w:hideMark/>
          </w:tcPr>
          <w:p w14:paraId="2E4919B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digestivas</w:t>
            </w:r>
            <w:proofErr w:type="spellEnd"/>
          </w:p>
        </w:tc>
      </w:tr>
      <w:tr w:rsidR="00496AC9" w:rsidRPr="006548ED" w14:paraId="5A7CC278" w14:textId="77777777" w:rsidTr="00496AC9">
        <w:trPr>
          <w:trHeight w:val="320"/>
        </w:trPr>
        <w:tc>
          <w:tcPr>
            <w:tcW w:w="4855" w:type="dxa"/>
            <w:shd w:val="clear" w:color="auto" w:fill="auto"/>
            <w:vAlign w:val="center"/>
            <w:hideMark/>
          </w:tcPr>
          <w:p w14:paraId="5CC08D8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Neurological conditions</w:t>
            </w:r>
          </w:p>
        </w:tc>
        <w:tc>
          <w:tcPr>
            <w:tcW w:w="4410" w:type="dxa"/>
            <w:shd w:val="clear" w:color="auto" w:fill="auto"/>
            <w:vAlign w:val="center"/>
            <w:hideMark/>
          </w:tcPr>
          <w:p w14:paraId="6202C03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Troubles </w:t>
            </w:r>
            <w:proofErr w:type="spellStart"/>
            <w:r w:rsidRPr="00496AC9">
              <w:rPr>
                <w:rFonts w:ascii="Calibri" w:eastAsia="Times New Roman" w:hAnsi="Calibri" w:cs="Calibri"/>
                <w:color w:val="000000"/>
                <w:sz w:val="20"/>
                <w:szCs w:val="20"/>
              </w:rPr>
              <w:t>neurologiques</w:t>
            </w:r>
            <w:proofErr w:type="spellEnd"/>
          </w:p>
        </w:tc>
        <w:tc>
          <w:tcPr>
            <w:tcW w:w="5310" w:type="dxa"/>
            <w:shd w:val="clear" w:color="auto" w:fill="auto"/>
            <w:vAlign w:val="center"/>
            <w:hideMark/>
          </w:tcPr>
          <w:p w14:paraId="1E95236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neurológicas</w:t>
            </w:r>
            <w:proofErr w:type="spellEnd"/>
          </w:p>
        </w:tc>
      </w:tr>
      <w:tr w:rsidR="00496AC9" w:rsidRPr="006548ED" w14:paraId="1AE3615D" w14:textId="77777777" w:rsidTr="00496AC9">
        <w:trPr>
          <w:trHeight w:val="320"/>
        </w:trPr>
        <w:tc>
          <w:tcPr>
            <w:tcW w:w="4855" w:type="dxa"/>
            <w:shd w:val="clear" w:color="auto" w:fill="auto"/>
            <w:vAlign w:val="center"/>
            <w:hideMark/>
          </w:tcPr>
          <w:p w14:paraId="718F9F4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Diabetes mellitus</w:t>
            </w:r>
          </w:p>
        </w:tc>
        <w:tc>
          <w:tcPr>
            <w:tcW w:w="4410" w:type="dxa"/>
            <w:shd w:val="clear" w:color="auto" w:fill="auto"/>
            <w:vAlign w:val="center"/>
            <w:hideMark/>
          </w:tcPr>
          <w:p w14:paraId="2DDEDA8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Diabète</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sucré</w:t>
            </w:r>
            <w:proofErr w:type="spellEnd"/>
          </w:p>
        </w:tc>
        <w:tc>
          <w:tcPr>
            <w:tcW w:w="5310" w:type="dxa"/>
            <w:shd w:val="clear" w:color="auto" w:fill="auto"/>
            <w:vAlign w:val="center"/>
            <w:hideMark/>
          </w:tcPr>
          <w:p w14:paraId="59728EF6"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Diabetes mellitus</w:t>
            </w:r>
          </w:p>
        </w:tc>
      </w:tr>
      <w:tr w:rsidR="00496AC9" w:rsidRPr="006548ED" w14:paraId="30F7A8E8" w14:textId="77777777" w:rsidTr="00496AC9">
        <w:trPr>
          <w:trHeight w:val="320"/>
        </w:trPr>
        <w:tc>
          <w:tcPr>
            <w:tcW w:w="4855" w:type="dxa"/>
            <w:shd w:val="clear" w:color="auto" w:fill="auto"/>
            <w:vAlign w:val="center"/>
            <w:hideMark/>
          </w:tcPr>
          <w:p w14:paraId="45D49113"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Nutritional deficiencies</w:t>
            </w:r>
          </w:p>
        </w:tc>
        <w:tc>
          <w:tcPr>
            <w:tcW w:w="4410" w:type="dxa"/>
            <w:shd w:val="clear" w:color="auto" w:fill="auto"/>
            <w:vAlign w:val="center"/>
            <w:hideMark/>
          </w:tcPr>
          <w:p w14:paraId="06CE6C2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Carences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nutritionnelles</w:t>
            </w:r>
            <w:proofErr w:type="spellEnd"/>
          </w:p>
        </w:tc>
        <w:tc>
          <w:tcPr>
            <w:tcW w:w="5310" w:type="dxa"/>
            <w:shd w:val="clear" w:color="auto" w:fill="auto"/>
            <w:vAlign w:val="center"/>
            <w:hideMark/>
          </w:tcPr>
          <w:p w14:paraId="3818F83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Deficiencias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nutricionales</w:t>
            </w:r>
            <w:proofErr w:type="spellEnd"/>
          </w:p>
        </w:tc>
      </w:tr>
      <w:tr w:rsidR="00496AC9" w:rsidRPr="006548ED" w14:paraId="1193CB4E" w14:textId="77777777" w:rsidTr="00496AC9">
        <w:trPr>
          <w:trHeight w:val="320"/>
        </w:trPr>
        <w:tc>
          <w:tcPr>
            <w:tcW w:w="4855" w:type="dxa"/>
            <w:shd w:val="clear" w:color="auto" w:fill="auto"/>
            <w:vAlign w:val="center"/>
            <w:hideMark/>
          </w:tcPr>
          <w:p w14:paraId="2A61921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Genitourinary diseases</w:t>
            </w:r>
          </w:p>
        </w:tc>
        <w:tc>
          <w:tcPr>
            <w:tcW w:w="4410" w:type="dxa"/>
            <w:shd w:val="clear" w:color="auto" w:fill="auto"/>
            <w:vAlign w:val="center"/>
            <w:hideMark/>
          </w:tcPr>
          <w:p w14:paraId="7C2D825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w:t>
            </w:r>
            <w:proofErr w:type="spellStart"/>
            <w:r w:rsidRPr="00496AC9">
              <w:rPr>
                <w:rFonts w:ascii="Calibri" w:eastAsia="Times New Roman" w:hAnsi="Calibri" w:cs="Calibri"/>
                <w:color w:val="000000"/>
                <w:sz w:val="20"/>
                <w:szCs w:val="20"/>
              </w:rPr>
              <w:t>génito-urinaires</w:t>
            </w:r>
            <w:proofErr w:type="spellEnd"/>
          </w:p>
        </w:tc>
        <w:tc>
          <w:tcPr>
            <w:tcW w:w="5310" w:type="dxa"/>
            <w:shd w:val="clear" w:color="auto" w:fill="auto"/>
            <w:vAlign w:val="center"/>
            <w:hideMark/>
          </w:tcPr>
          <w:p w14:paraId="78EF5B7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genitourinarias</w:t>
            </w:r>
            <w:proofErr w:type="spellEnd"/>
          </w:p>
        </w:tc>
      </w:tr>
      <w:tr w:rsidR="00496AC9" w:rsidRPr="006548ED" w14:paraId="36D2E5D3" w14:textId="77777777" w:rsidTr="00496AC9">
        <w:trPr>
          <w:trHeight w:val="320"/>
        </w:trPr>
        <w:tc>
          <w:tcPr>
            <w:tcW w:w="4855" w:type="dxa"/>
            <w:shd w:val="clear" w:color="auto" w:fill="auto"/>
            <w:vAlign w:val="center"/>
            <w:hideMark/>
          </w:tcPr>
          <w:p w14:paraId="7235C52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Congenital anomalies</w:t>
            </w:r>
          </w:p>
        </w:tc>
        <w:tc>
          <w:tcPr>
            <w:tcW w:w="4410" w:type="dxa"/>
            <w:shd w:val="clear" w:color="auto" w:fill="auto"/>
            <w:vAlign w:val="center"/>
            <w:hideMark/>
          </w:tcPr>
          <w:p w14:paraId="13D85B0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Anomalies </w:t>
            </w:r>
            <w:proofErr w:type="spellStart"/>
            <w:r w:rsidRPr="00496AC9">
              <w:rPr>
                <w:rFonts w:ascii="Calibri" w:eastAsia="Times New Roman" w:hAnsi="Calibri" w:cs="Calibri"/>
                <w:color w:val="000000"/>
                <w:sz w:val="20"/>
                <w:szCs w:val="20"/>
              </w:rPr>
              <w:t>congénitales</w:t>
            </w:r>
            <w:proofErr w:type="spellEnd"/>
          </w:p>
        </w:tc>
        <w:tc>
          <w:tcPr>
            <w:tcW w:w="5310" w:type="dxa"/>
            <w:shd w:val="clear" w:color="auto" w:fill="auto"/>
            <w:vAlign w:val="center"/>
            <w:hideMark/>
          </w:tcPr>
          <w:p w14:paraId="6E2905D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Anomalías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congénitas</w:t>
            </w:r>
            <w:proofErr w:type="spellEnd"/>
          </w:p>
        </w:tc>
      </w:tr>
      <w:tr w:rsidR="00496AC9" w:rsidRPr="006548ED" w14:paraId="1C336F89" w14:textId="77777777" w:rsidTr="00496AC9">
        <w:trPr>
          <w:trHeight w:val="320"/>
        </w:trPr>
        <w:tc>
          <w:tcPr>
            <w:tcW w:w="4855" w:type="dxa"/>
            <w:shd w:val="clear" w:color="auto" w:fill="auto"/>
            <w:vAlign w:val="center"/>
            <w:hideMark/>
          </w:tcPr>
          <w:p w14:paraId="2A0F42D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Maternal conditions</w:t>
            </w:r>
          </w:p>
        </w:tc>
        <w:tc>
          <w:tcPr>
            <w:tcW w:w="4410" w:type="dxa"/>
            <w:shd w:val="clear" w:color="auto" w:fill="auto"/>
            <w:vAlign w:val="center"/>
            <w:hideMark/>
          </w:tcPr>
          <w:p w14:paraId="2684FAA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Affections </w:t>
            </w:r>
            <w:proofErr w:type="spellStart"/>
            <w:r w:rsidRPr="00496AC9">
              <w:rPr>
                <w:rFonts w:ascii="Calibri" w:eastAsia="Times New Roman" w:hAnsi="Calibri" w:cs="Calibri"/>
                <w:color w:val="000000"/>
                <w:sz w:val="20"/>
                <w:szCs w:val="20"/>
              </w:rPr>
              <w:t>maternelles</w:t>
            </w:r>
            <w:proofErr w:type="spellEnd"/>
          </w:p>
        </w:tc>
        <w:tc>
          <w:tcPr>
            <w:tcW w:w="5310" w:type="dxa"/>
            <w:shd w:val="clear" w:color="auto" w:fill="auto"/>
            <w:vAlign w:val="center"/>
            <w:hideMark/>
          </w:tcPr>
          <w:p w14:paraId="5691388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maternas</w:t>
            </w:r>
            <w:proofErr w:type="spellEnd"/>
          </w:p>
        </w:tc>
      </w:tr>
      <w:tr w:rsidR="00496AC9" w:rsidRPr="006548ED" w14:paraId="14D15529" w14:textId="77777777" w:rsidTr="00496AC9">
        <w:trPr>
          <w:trHeight w:val="320"/>
        </w:trPr>
        <w:tc>
          <w:tcPr>
            <w:tcW w:w="4855" w:type="dxa"/>
            <w:shd w:val="clear" w:color="auto" w:fill="auto"/>
            <w:vAlign w:val="center"/>
            <w:hideMark/>
          </w:tcPr>
          <w:p w14:paraId="57E8C2E3"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Other neoplasms</w:t>
            </w:r>
          </w:p>
        </w:tc>
        <w:tc>
          <w:tcPr>
            <w:tcW w:w="4410" w:type="dxa"/>
            <w:shd w:val="clear" w:color="auto" w:fill="auto"/>
            <w:vAlign w:val="center"/>
            <w:hideMark/>
          </w:tcPr>
          <w:p w14:paraId="1789680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Autres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tumeurs</w:t>
            </w:r>
            <w:proofErr w:type="spellEnd"/>
          </w:p>
        </w:tc>
        <w:tc>
          <w:tcPr>
            <w:tcW w:w="5310" w:type="dxa"/>
            <w:shd w:val="clear" w:color="auto" w:fill="auto"/>
            <w:vAlign w:val="center"/>
            <w:hideMark/>
          </w:tcPr>
          <w:p w14:paraId="0D691ED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Otras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neoplasias</w:t>
            </w:r>
            <w:proofErr w:type="spellEnd"/>
          </w:p>
        </w:tc>
      </w:tr>
      <w:tr w:rsidR="00496AC9" w:rsidRPr="006548ED" w14:paraId="625057A7" w14:textId="77777777" w:rsidTr="00496AC9">
        <w:trPr>
          <w:trHeight w:val="320"/>
        </w:trPr>
        <w:tc>
          <w:tcPr>
            <w:tcW w:w="4855" w:type="dxa"/>
            <w:shd w:val="clear" w:color="auto" w:fill="auto"/>
            <w:vAlign w:val="center"/>
            <w:hideMark/>
          </w:tcPr>
          <w:p w14:paraId="0AAD73D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Oral conditions</w:t>
            </w:r>
          </w:p>
        </w:tc>
        <w:tc>
          <w:tcPr>
            <w:tcW w:w="4410" w:type="dxa"/>
            <w:shd w:val="clear" w:color="auto" w:fill="auto"/>
            <w:vAlign w:val="center"/>
            <w:hideMark/>
          </w:tcPr>
          <w:p w14:paraId="3B42DF9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Conditions </w:t>
            </w:r>
            <w:proofErr w:type="spellStart"/>
            <w:r w:rsidRPr="00496AC9">
              <w:rPr>
                <w:rFonts w:ascii="Calibri" w:eastAsia="Times New Roman" w:hAnsi="Calibri" w:cs="Calibri"/>
                <w:color w:val="000000"/>
                <w:sz w:val="20"/>
                <w:szCs w:val="20"/>
              </w:rPr>
              <w:t>orales</w:t>
            </w:r>
            <w:proofErr w:type="spellEnd"/>
          </w:p>
        </w:tc>
        <w:tc>
          <w:tcPr>
            <w:tcW w:w="5310" w:type="dxa"/>
            <w:shd w:val="clear" w:color="auto" w:fill="auto"/>
            <w:vAlign w:val="center"/>
            <w:hideMark/>
          </w:tcPr>
          <w:p w14:paraId="0F87A84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Condiciones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orales</w:t>
            </w:r>
            <w:proofErr w:type="spellEnd"/>
          </w:p>
        </w:tc>
      </w:tr>
      <w:tr w:rsidR="00496AC9" w:rsidRPr="006548ED" w14:paraId="74E836BB" w14:textId="77777777" w:rsidTr="00496AC9">
        <w:trPr>
          <w:trHeight w:val="320"/>
        </w:trPr>
        <w:tc>
          <w:tcPr>
            <w:tcW w:w="4855" w:type="dxa"/>
            <w:shd w:val="clear" w:color="auto" w:fill="auto"/>
            <w:vAlign w:val="center"/>
            <w:hideMark/>
          </w:tcPr>
          <w:p w14:paraId="06C47E9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Skin diseases</w:t>
            </w:r>
          </w:p>
        </w:tc>
        <w:tc>
          <w:tcPr>
            <w:tcW w:w="4410" w:type="dxa"/>
            <w:shd w:val="clear" w:color="auto" w:fill="auto"/>
            <w:vAlign w:val="center"/>
            <w:hideMark/>
          </w:tcPr>
          <w:p w14:paraId="3B39901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de la </w:t>
            </w:r>
            <w:proofErr w:type="spellStart"/>
            <w:r w:rsidRPr="00496AC9">
              <w:rPr>
                <w:rFonts w:ascii="Calibri" w:eastAsia="Times New Roman" w:hAnsi="Calibri" w:cs="Calibri"/>
                <w:color w:val="000000"/>
                <w:sz w:val="20"/>
                <w:szCs w:val="20"/>
              </w:rPr>
              <w:t>peau</w:t>
            </w:r>
            <w:proofErr w:type="spellEnd"/>
          </w:p>
        </w:tc>
        <w:tc>
          <w:tcPr>
            <w:tcW w:w="5310" w:type="dxa"/>
            <w:shd w:val="clear" w:color="auto" w:fill="auto"/>
            <w:vAlign w:val="center"/>
            <w:hideMark/>
          </w:tcPr>
          <w:p w14:paraId="2A5AB54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de la </w:t>
            </w:r>
            <w:proofErr w:type="spellStart"/>
            <w:r w:rsidRPr="00496AC9">
              <w:rPr>
                <w:rFonts w:ascii="Calibri" w:eastAsia="Times New Roman" w:hAnsi="Calibri" w:cs="Calibri"/>
                <w:color w:val="000000"/>
                <w:sz w:val="20"/>
                <w:szCs w:val="20"/>
              </w:rPr>
              <w:t>piel</w:t>
            </w:r>
            <w:proofErr w:type="spellEnd"/>
          </w:p>
        </w:tc>
      </w:tr>
      <w:tr w:rsidR="00496AC9" w:rsidRPr="006548ED" w14:paraId="08816C80" w14:textId="77777777" w:rsidTr="00496AC9">
        <w:trPr>
          <w:trHeight w:val="320"/>
        </w:trPr>
        <w:tc>
          <w:tcPr>
            <w:tcW w:w="4855" w:type="dxa"/>
            <w:shd w:val="clear" w:color="auto" w:fill="auto"/>
            <w:vAlign w:val="center"/>
            <w:hideMark/>
          </w:tcPr>
          <w:p w14:paraId="1455812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Endocrine, blood, immune disorders</w:t>
            </w:r>
          </w:p>
        </w:tc>
        <w:tc>
          <w:tcPr>
            <w:tcW w:w="4410" w:type="dxa"/>
            <w:shd w:val="clear" w:color="auto" w:fill="auto"/>
            <w:vAlign w:val="center"/>
            <w:hideMark/>
          </w:tcPr>
          <w:p w14:paraId="2F489A9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Troubles </w:t>
            </w:r>
            <w:proofErr w:type="spellStart"/>
            <w:r w:rsidRPr="00496AC9">
              <w:rPr>
                <w:rFonts w:ascii="Calibri" w:eastAsia="Times New Roman" w:hAnsi="Calibri" w:cs="Calibri"/>
                <w:color w:val="000000"/>
                <w:sz w:val="20"/>
                <w:szCs w:val="20"/>
              </w:rPr>
              <w:t>endocriniens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sanguins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immunitaires</w:t>
            </w:r>
            <w:proofErr w:type="spellEnd"/>
          </w:p>
        </w:tc>
        <w:tc>
          <w:tcPr>
            <w:tcW w:w="5310" w:type="dxa"/>
            <w:shd w:val="clear" w:color="auto" w:fill="auto"/>
            <w:vAlign w:val="center"/>
            <w:hideMark/>
          </w:tcPr>
          <w:p w14:paraId="0F609D5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Endocrino</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sangre</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trastornos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inmunes</w:t>
            </w:r>
            <w:proofErr w:type="spellEnd"/>
          </w:p>
        </w:tc>
      </w:tr>
      <w:tr w:rsidR="00496AC9" w:rsidRPr="006548ED" w14:paraId="64834530" w14:textId="77777777" w:rsidTr="00496AC9">
        <w:trPr>
          <w:trHeight w:val="320"/>
        </w:trPr>
        <w:tc>
          <w:tcPr>
            <w:tcW w:w="4855" w:type="dxa"/>
            <w:shd w:val="clear" w:color="auto" w:fill="auto"/>
            <w:vAlign w:val="center"/>
            <w:hideMark/>
          </w:tcPr>
          <w:p w14:paraId="00BD4387"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Choose a country:</w:t>
            </w:r>
          </w:p>
        </w:tc>
        <w:tc>
          <w:tcPr>
            <w:tcW w:w="4410" w:type="dxa"/>
            <w:shd w:val="clear" w:color="auto" w:fill="auto"/>
            <w:vAlign w:val="center"/>
            <w:hideMark/>
          </w:tcPr>
          <w:p w14:paraId="77D4545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Choisissez</w:t>
            </w:r>
            <w:proofErr w:type="spellEnd"/>
            <w:r w:rsidRPr="00496AC9">
              <w:rPr>
                <w:rFonts w:ascii="Calibri" w:eastAsia="Times New Roman" w:hAnsi="Calibri" w:cs="Calibri"/>
                <w:color w:val="000000"/>
                <w:sz w:val="20"/>
                <w:szCs w:val="20"/>
              </w:rPr>
              <w:t xml:space="preserve"> un pays:</w:t>
            </w:r>
          </w:p>
        </w:tc>
        <w:tc>
          <w:tcPr>
            <w:tcW w:w="5310" w:type="dxa"/>
            <w:shd w:val="clear" w:color="auto" w:fill="auto"/>
            <w:vAlign w:val="center"/>
            <w:hideMark/>
          </w:tcPr>
          <w:p w14:paraId="27B4F762" w14:textId="0528D51D"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9A087E">
              <w:rPr>
                <w:rFonts w:ascii="Calibri" w:eastAsia="Times New Roman" w:hAnsi="Calibri" w:cs="Calibri"/>
                <w:b/>
                <w:bCs/>
                <w:color w:val="FF0000"/>
                <w:sz w:val="20"/>
                <w:szCs w:val="20"/>
              </w:rPr>
              <w:t>Eli</w:t>
            </w:r>
            <w:r w:rsidR="009A087E" w:rsidRPr="009A087E">
              <w:rPr>
                <w:rFonts w:ascii="Calibri" w:eastAsia="Times New Roman" w:hAnsi="Calibri" w:cs="Calibri"/>
                <w:b/>
                <w:bCs/>
                <w:color w:val="FF0000"/>
                <w:sz w:val="20"/>
                <w:szCs w:val="20"/>
              </w:rPr>
              <w:t>jan</w:t>
            </w:r>
            <w:proofErr w:type="spellEnd"/>
            <w:r w:rsidRPr="009A087E">
              <w:rPr>
                <w:rFonts w:ascii="Calibri" w:eastAsia="Times New Roman" w:hAnsi="Calibri" w:cs="Calibri"/>
                <w:color w:val="FF0000"/>
                <w:sz w:val="20"/>
                <w:szCs w:val="20"/>
              </w:rPr>
              <w:t xml:space="preserve"> </w:t>
            </w:r>
            <w:r w:rsidRPr="00496AC9">
              <w:rPr>
                <w:rFonts w:ascii="Calibri" w:eastAsia="Times New Roman" w:hAnsi="Calibri" w:cs="Calibri"/>
                <w:color w:val="000000"/>
                <w:sz w:val="20"/>
                <w:szCs w:val="20"/>
              </w:rPr>
              <w:t xml:space="preserve">un </w:t>
            </w:r>
            <w:proofErr w:type="spellStart"/>
            <w:r w:rsidRPr="00496AC9">
              <w:rPr>
                <w:rFonts w:ascii="Calibri" w:eastAsia="Times New Roman" w:hAnsi="Calibri" w:cs="Calibri"/>
                <w:color w:val="000000"/>
                <w:sz w:val="20"/>
                <w:szCs w:val="20"/>
              </w:rPr>
              <w:t>pais</w:t>
            </w:r>
            <w:proofErr w:type="spellEnd"/>
            <w:r w:rsidRPr="00496AC9">
              <w:rPr>
                <w:rFonts w:ascii="Calibri" w:eastAsia="Times New Roman" w:hAnsi="Calibri" w:cs="Calibri"/>
                <w:color w:val="000000"/>
                <w:sz w:val="20"/>
                <w:szCs w:val="20"/>
              </w:rPr>
              <w:t>:</w:t>
            </w:r>
          </w:p>
        </w:tc>
      </w:tr>
      <w:tr w:rsidR="00496AC9" w:rsidRPr="00BD0799" w14:paraId="5AF1EAAE" w14:textId="77777777" w:rsidTr="00496AC9">
        <w:trPr>
          <w:trHeight w:val="320"/>
        </w:trPr>
        <w:tc>
          <w:tcPr>
            <w:tcW w:w="4855" w:type="dxa"/>
            <w:shd w:val="clear" w:color="auto" w:fill="auto"/>
            <w:vAlign w:val="center"/>
            <w:hideMark/>
          </w:tcPr>
          <w:p w14:paraId="3E7BD98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The 10 leading categories of burden between 2000 and 2015 are detailed globally and for every country. Over the years, categories classified under Group II are becoming more predominant whereas categories classified under Group I are becoming less predominant.</w:t>
            </w:r>
          </w:p>
        </w:tc>
        <w:tc>
          <w:tcPr>
            <w:tcW w:w="4410" w:type="dxa"/>
            <w:shd w:val="clear" w:color="auto" w:fill="auto"/>
            <w:vAlign w:val="center"/>
            <w:hideMark/>
          </w:tcPr>
          <w:p w14:paraId="3053FBD6"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Les 10 principales catégories de charge entre 2000 et 2015 sont détaillées globalement et pour chaque pays. Au fil des années, les catégories classées dans le groupe II sont de plus en plus prédominantes, tandis que les catégories classées dans le groupe I le sont de moins en moins.</w:t>
            </w:r>
          </w:p>
        </w:tc>
        <w:tc>
          <w:tcPr>
            <w:tcW w:w="5310" w:type="dxa"/>
            <w:shd w:val="clear" w:color="auto" w:fill="auto"/>
            <w:vAlign w:val="center"/>
            <w:hideMark/>
          </w:tcPr>
          <w:p w14:paraId="20F10FA5" w14:textId="532937BE"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Las 10 principales categorías de carga entre 2000 y 2015 se detallan a nivel mundial y para cada país. Con los años, las categorías clasificadas en el Grupo II son cada vez más predominantes, mientras que las categorías clasificadas en el Grupo I son cada vez menos predominantes.</w:t>
            </w:r>
          </w:p>
        </w:tc>
      </w:tr>
      <w:tr w:rsidR="00496AC9" w:rsidRPr="006548ED" w14:paraId="228B1A3F" w14:textId="77777777" w:rsidTr="00496AC9">
        <w:trPr>
          <w:trHeight w:val="320"/>
        </w:trPr>
        <w:tc>
          <w:tcPr>
            <w:tcW w:w="4855" w:type="dxa"/>
            <w:shd w:val="clear" w:color="auto" w:fill="auto"/>
            <w:vAlign w:val="center"/>
            <w:hideMark/>
          </w:tcPr>
          <w:p w14:paraId="5AF06AE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10 leading categories of: (</w:t>
            </w:r>
          </w:p>
        </w:tc>
        <w:tc>
          <w:tcPr>
            <w:tcW w:w="4410" w:type="dxa"/>
            <w:shd w:val="clear" w:color="auto" w:fill="auto"/>
            <w:vAlign w:val="center"/>
            <w:hideMark/>
          </w:tcPr>
          <w:p w14:paraId="5442217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 Les 10 </w:t>
            </w:r>
            <w:proofErr w:type="spellStart"/>
            <w:r w:rsidRPr="00496AC9">
              <w:rPr>
                <w:rFonts w:ascii="Calibri" w:eastAsia="Times New Roman" w:hAnsi="Calibri" w:cs="Calibri"/>
                <w:color w:val="000000"/>
                <w:sz w:val="20"/>
                <w:szCs w:val="20"/>
              </w:rPr>
              <w:t>principales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catégories</w:t>
            </w:r>
            <w:proofErr w:type="spellEnd"/>
            <w:r w:rsidRPr="00496AC9">
              <w:rPr>
                <w:rFonts w:ascii="Calibri" w:eastAsia="Times New Roman" w:hAnsi="Calibri" w:cs="Calibri"/>
                <w:color w:val="000000"/>
                <w:sz w:val="20"/>
                <w:szCs w:val="20"/>
              </w:rPr>
              <w:t xml:space="preserve"> de: (</w:t>
            </w:r>
          </w:p>
        </w:tc>
        <w:tc>
          <w:tcPr>
            <w:tcW w:w="5310" w:type="dxa"/>
            <w:shd w:val="clear" w:color="auto" w:fill="auto"/>
            <w:vAlign w:val="center"/>
            <w:hideMark/>
          </w:tcPr>
          <w:p w14:paraId="080AD49C"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 10 </w:t>
            </w:r>
            <w:proofErr w:type="spellStart"/>
            <w:r w:rsidRPr="00496AC9">
              <w:rPr>
                <w:rFonts w:ascii="Calibri" w:eastAsia="Times New Roman" w:hAnsi="Calibri" w:cs="Calibri"/>
                <w:color w:val="000000"/>
                <w:sz w:val="20"/>
                <w:szCs w:val="20"/>
              </w:rPr>
              <w:t>categorías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principales</w:t>
            </w:r>
            <w:proofErr w:type="spellEnd"/>
            <w:r w:rsidRPr="00496AC9">
              <w:rPr>
                <w:rFonts w:ascii="Calibri" w:eastAsia="Times New Roman" w:hAnsi="Calibri" w:cs="Calibri"/>
                <w:color w:val="000000"/>
                <w:sz w:val="20"/>
                <w:szCs w:val="20"/>
              </w:rPr>
              <w:t xml:space="preserve"> de: (</w:t>
            </w:r>
          </w:p>
        </w:tc>
      </w:tr>
      <w:tr w:rsidR="00496AC9" w:rsidRPr="00A37987" w14:paraId="16C8D754" w14:textId="77777777" w:rsidTr="00496AC9">
        <w:trPr>
          <w:trHeight w:val="320"/>
        </w:trPr>
        <w:tc>
          <w:tcPr>
            <w:tcW w:w="4855" w:type="dxa"/>
            <w:shd w:val="clear" w:color="auto" w:fill="auto"/>
            <w:vAlign w:val="center"/>
            <w:hideMark/>
          </w:tcPr>
          <w:p w14:paraId="14C15078"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All causes of burden can be broken down into three major categories of disease and disability including: Communicable, maternal, perinatal and nutritional conditions (Group I); Noncommunicable diseases (Group II); and Injuries (Group III). Here we show Global and country-level profiles.</w:t>
            </w:r>
          </w:p>
        </w:tc>
        <w:tc>
          <w:tcPr>
            <w:tcW w:w="4410" w:type="dxa"/>
            <w:shd w:val="clear" w:color="auto" w:fill="auto"/>
            <w:vAlign w:val="center"/>
            <w:hideMark/>
          </w:tcPr>
          <w:p w14:paraId="5738C7C3"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Toutes les causes de fardeau peuvent être réparties en trois grandes catégories de maladies et d'invalidités, à </w:t>
            </w:r>
            <w:proofErr w:type="gramStart"/>
            <w:r w:rsidRPr="00E56DFA">
              <w:rPr>
                <w:rFonts w:ascii="Calibri" w:eastAsia="Times New Roman" w:hAnsi="Calibri" w:cs="Calibri"/>
                <w:color w:val="000000"/>
                <w:sz w:val="20"/>
                <w:szCs w:val="20"/>
                <w:lang w:val="fr-FR"/>
              </w:rPr>
              <w:t>savoir:</w:t>
            </w:r>
            <w:proofErr w:type="gramEnd"/>
            <w:r w:rsidRPr="00E56DFA">
              <w:rPr>
                <w:rFonts w:ascii="Calibri" w:eastAsia="Times New Roman" w:hAnsi="Calibri" w:cs="Calibri"/>
                <w:color w:val="000000"/>
                <w:sz w:val="20"/>
                <w:szCs w:val="20"/>
                <w:lang w:val="fr-FR"/>
              </w:rPr>
              <w:t xml:space="preserve"> les maladies transmissibles, maternelles, périnatales et nutritionnelles (Groupe I); les maladies non transmissibles (Groupe II); et les blessures (Groupe III). Nous montrons ici </w:t>
            </w:r>
            <w:proofErr w:type="gramStart"/>
            <w:r w:rsidRPr="00E56DFA">
              <w:rPr>
                <w:rFonts w:ascii="Calibri" w:eastAsia="Times New Roman" w:hAnsi="Calibri" w:cs="Calibri"/>
                <w:color w:val="000000"/>
                <w:sz w:val="20"/>
                <w:szCs w:val="20"/>
                <w:lang w:val="fr-FR"/>
              </w:rPr>
              <w:t>les profils global</w:t>
            </w:r>
            <w:proofErr w:type="gramEnd"/>
            <w:r w:rsidRPr="00E56DFA">
              <w:rPr>
                <w:rFonts w:ascii="Calibri" w:eastAsia="Times New Roman" w:hAnsi="Calibri" w:cs="Calibri"/>
                <w:color w:val="000000"/>
                <w:sz w:val="20"/>
                <w:szCs w:val="20"/>
                <w:lang w:val="fr-FR"/>
              </w:rPr>
              <w:t xml:space="preserve"> et celui de chaque nation.</w:t>
            </w:r>
          </w:p>
        </w:tc>
        <w:tc>
          <w:tcPr>
            <w:tcW w:w="5310" w:type="dxa"/>
            <w:shd w:val="clear" w:color="auto" w:fill="auto"/>
            <w:vAlign w:val="center"/>
            <w:hideMark/>
          </w:tcPr>
          <w:p w14:paraId="38545836" w14:textId="22F4EF5D" w:rsidR="00496AC9" w:rsidRPr="00A37987"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 xml:space="preserve">Todas las causas de la carga se pueden dividir en tres categorías principales de enfermedades y discapacidades, que incluyen: </w:t>
            </w:r>
            <w:r w:rsidR="00A37987">
              <w:rPr>
                <w:rFonts w:ascii="Calibri" w:eastAsia="Times New Roman" w:hAnsi="Calibri" w:cs="Calibri"/>
                <w:b/>
                <w:bCs/>
                <w:color w:val="FF0000"/>
                <w:sz w:val="20"/>
                <w:szCs w:val="20"/>
                <w:lang w:val="es-ES"/>
              </w:rPr>
              <w:t>enfermedades</w:t>
            </w:r>
            <w:r w:rsidR="00A37987" w:rsidRPr="009A087E">
              <w:rPr>
                <w:rFonts w:ascii="Calibri" w:eastAsia="Times New Roman" w:hAnsi="Calibri" w:cs="Calibri"/>
                <w:b/>
                <w:bCs/>
                <w:color w:val="FF0000"/>
                <w:sz w:val="20"/>
                <w:szCs w:val="20"/>
                <w:lang w:val="es-ES"/>
              </w:rPr>
              <w:t xml:space="preserve"> transmisibles</w:t>
            </w:r>
            <w:r w:rsidRPr="00E56DFA">
              <w:rPr>
                <w:rFonts w:ascii="Calibri" w:eastAsia="Times New Roman" w:hAnsi="Calibri" w:cs="Calibri"/>
                <w:color w:val="000000"/>
                <w:sz w:val="20"/>
                <w:szCs w:val="20"/>
                <w:lang w:val="es-ES"/>
              </w:rPr>
              <w:t xml:space="preserve">, maternas, perinatales y nutricionales (Grupo I); Enfermedades no transmisibles (Grupo II); y Lesiones (Grupo III). </w:t>
            </w:r>
            <w:r w:rsidRPr="00A37987">
              <w:rPr>
                <w:rFonts w:ascii="Calibri" w:eastAsia="Times New Roman" w:hAnsi="Calibri" w:cs="Calibri"/>
                <w:color w:val="000000"/>
                <w:sz w:val="20"/>
                <w:szCs w:val="20"/>
                <w:lang w:val="es-ES"/>
              </w:rPr>
              <w:t xml:space="preserve">Aquí </w:t>
            </w:r>
            <w:r w:rsidR="0098691E" w:rsidRPr="00A37987">
              <w:rPr>
                <w:rFonts w:ascii="Calibri" w:eastAsia="Times New Roman" w:hAnsi="Calibri" w:cs="Calibri"/>
                <w:b/>
                <w:bCs/>
                <w:color w:val="FF0000"/>
                <w:sz w:val="20"/>
                <w:szCs w:val="20"/>
                <w:lang w:val="es-ES"/>
              </w:rPr>
              <w:t>enseñamos</w:t>
            </w:r>
            <w:r w:rsidRPr="00A37987">
              <w:rPr>
                <w:rFonts w:ascii="Calibri" w:eastAsia="Times New Roman" w:hAnsi="Calibri" w:cs="Calibri"/>
                <w:color w:val="FF0000"/>
                <w:sz w:val="20"/>
                <w:szCs w:val="20"/>
                <w:lang w:val="es-ES"/>
              </w:rPr>
              <w:t xml:space="preserve"> </w:t>
            </w:r>
            <w:r w:rsidRPr="00A37987">
              <w:rPr>
                <w:rFonts w:ascii="Calibri" w:eastAsia="Times New Roman" w:hAnsi="Calibri" w:cs="Calibri"/>
                <w:color w:val="000000"/>
                <w:sz w:val="20"/>
                <w:szCs w:val="20"/>
                <w:lang w:val="es-ES"/>
              </w:rPr>
              <w:t xml:space="preserve">perfiles globales y a nivel de </w:t>
            </w:r>
            <w:r w:rsidRPr="00A37987">
              <w:rPr>
                <w:rFonts w:ascii="Calibri" w:eastAsia="Times New Roman" w:hAnsi="Calibri" w:cs="Calibri"/>
                <w:b/>
                <w:bCs/>
                <w:color w:val="FF0000"/>
                <w:sz w:val="20"/>
                <w:szCs w:val="20"/>
                <w:lang w:val="es-ES"/>
              </w:rPr>
              <w:t>paí</w:t>
            </w:r>
            <w:r w:rsidR="009A087E" w:rsidRPr="00A37987">
              <w:rPr>
                <w:rFonts w:ascii="Calibri" w:eastAsia="Times New Roman" w:hAnsi="Calibri" w:cs="Calibri"/>
                <w:b/>
                <w:bCs/>
                <w:color w:val="FF0000"/>
                <w:sz w:val="20"/>
                <w:szCs w:val="20"/>
                <w:lang w:val="es-ES"/>
              </w:rPr>
              <w:t>se</w:t>
            </w:r>
            <w:r w:rsidRPr="00A37987">
              <w:rPr>
                <w:rFonts w:ascii="Calibri" w:eastAsia="Times New Roman" w:hAnsi="Calibri" w:cs="Calibri"/>
                <w:b/>
                <w:bCs/>
                <w:color w:val="FF0000"/>
                <w:sz w:val="20"/>
                <w:szCs w:val="20"/>
                <w:lang w:val="es-ES"/>
              </w:rPr>
              <w:t>s.</w:t>
            </w:r>
          </w:p>
        </w:tc>
      </w:tr>
      <w:tr w:rsidR="00496AC9" w:rsidRPr="00BD0799" w14:paraId="72A8C2F6" w14:textId="77777777" w:rsidTr="00496AC9">
        <w:trPr>
          <w:trHeight w:val="320"/>
        </w:trPr>
        <w:tc>
          <w:tcPr>
            <w:tcW w:w="4855" w:type="dxa"/>
            <w:shd w:val="clear" w:color="auto" w:fill="auto"/>
            <w:vAlign w:val="center"/>
            <w:hideMark/>
          </w:tcPr>
          <w:p w14:paraId="46AA213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Overall, most countries have seen their All Causes of burden rates declined between 2000 and 2015. This decline is primarily due to a decrease in either Group I or Group II or both.</w:t>
            </w:r>
          </w:p>
        </w:tc>
        <w:tc>
          <w:tcPr>
            <w:tcW w:w="4410" w:type="dxa"/>
            <w:shd w:val="clear" w:color="auto" w:fill="auto"/>
            <w:vAlign w:val="center"/>
            <w:hideMark/>
          </w:tcPr>
          <w:p w14:paraId="07C861D2"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En général, la plupart des pays ont vu leurs taux de fardeau diminué entre 2000 et 2015. Cette baisse est principalement due à une diminution du fardeau du Groupe I ou du Groupe II, ou des deux.</w:t>
            </w:r>
          </w:p>
        </w:tc>
        <w:tc>
          <w:tcPr>
            <w:tcW w:w="5310" w:type="dxa"/>
            <w:shd w:val="clear" w:color="auto" w:fill="auto"/>
            <w:vAlign w:val="center"/>
            <w:hideMark/>
          </w:tcPr>
          <w:p w14:paraId="2D5D62EC"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En general, la mayoría de los países han visto disminuir sus tasas de Todas las causas de carga entre 2000 y 2015. Esta disminución se debe principalmente a una disminución en el Grupo I o el Grupo II o en ambos.</w:t>
            </w:r>
          </w:p>
        </w:tc>
      </w:tr>
      <w:tr w:rsidR="00496AC9" w:rsidRPr="00BD0799" w14:paraId="2B5AEB14" w14:textId="77777777" w:rsidTr="00496AC9">
        <w:trPr>
          <w:trHeight w:val="320"/>
        </w:trPr>
        <w:tc>
          <w:tcPr>
            <w:tcW w:w="4855" w:type="dxa"/>
            <w:shd w:val="clear" w:color="auto" w:fill="auto"/>
            <w:vAlign w:val="center"/>
            <w:hideMark/>
          </w:tcPr>
          <w:p w14:paraId="08D59FA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Communicable, maternal, perinatal and nutritional conditions;</w:t>
            </w:r>
          </w:p>
        </w:tc>
        <w:tc>
          <w:tcPr>
            <w:tcW w:w="4410" w:type="dxa"/>
            <w:shd w:val="clear" w:color="auto" w:fill="auto"/>
            <w:vAlign w:val="center"/>
            <w:hideMark/>
          </w:tcPr>
          <w:p w14:paraId="065B1062"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Maladies transmissibles, maternelles, périnatales et </w:t>
            </w:r>
            <w:proofErr w:type="gramStart"/>
            <w:r w:rsidRPr="00E56DFA">
              <w:rPr>
                <w:rFonts w:ascii="Calibri" w:eastAsia="Times New Roman" w:hAnsi="Calibri" w:cs="Calibri"/>
                <w:color w:val="000000"/>
                <w:sz w:val="20"/>
                <w:szCs w:val="20"/>
                <w:lang w:val="fr-FR"/>
              </w:rPr>
              <w:t>nutritionnelles;</w:t>
            </w:r>
            <w:proofErr w:type="gramEnd"/>
          </w:p>
        </w:tc>
        <w:tc>
          <w:tcPr>
            <w:tcW w:w="5310" w:type="dxa"/>
            <w:shd w:val="clear" w:color="auto" w:fill="auto"/>
            <w:vAlign w:val="center"/>
            <w:hideMark/>
          </w:tcPr>
          <w:p w14:paraId="6E9027FC" w14:textId="1DEFCFB2" w:rsidR="00496AC9" w:rsidRPr="009A087E" w:rsidRDefault="00A37987" w:rsidP="00496AC9">
            <w:pPr>
              <w:spacing w:before="0" w:after="0"/>
              <w:ind w:firstLine="0"/>
              <w:jc w:val="left"/>
              <w:rPr>
                <w:rFonts w:ascii="Calibri" w:eastAsia="Times New Roman" w:hAnsi="Calibri" w:cs="Calibri"/>
                <w:b/>
                <w:bCs/>
                <w:color w:val="000000"/>
                <w:sz w:val="20"/>
                <w:szCs w:val="20"/>
                <w:lang w:val="es-ES"/>
              </w:rPr>
            </w:pPr>
            <w:r>
              <w:rPr>
                <w:rFonts w:ascii="Calibri" w:eastAsia="Times New Roman" w:hAnsi="Calibri" w:cs="Calibri"/>
                <w:b/>
                <w:bCs/>
                <w:color w:val="FF0000"/>
                <w:sz w:val="20"/>
                <w:szCs w:val="20"/>
                <w:lang w:val="es-ES"/>
              </w:rPr>
              <w:t>enfermedades</w:t>
            </w:r>
            <w:r w:rsidR="00496AC9" w:rsidRPr="009A087E">
              <w:rPr>
                <w:rFonts w:ascii="Calibri" w:eastAsia="Times New Roman" w:hAnsi="Calibri" w:cs="Calibri"/>
                <w:b/>
                <w:bCs/>
                <w:color w:val="FF0000"/>
                <w:sz w:val="20"/>
                <w:szCs w:val="20"/>
                <w:lang w:val="es-ES"/>
              </w:rPr>
              <w:t xml:space="preserve"> </w:t>
            </w:r>
            <w:r w:rsidRPr="009A087E">
              <w:rPr>
                <w:rFonts w:ascii="Calibri" w:eastAsia="Times New Roman" w:hAnsi="Calibri" w:cs="Calibri"/>
                <w:b/>
                <w:bCs/>
                <w:color w:val="FF0000"/>
                <w:sz w:val="20"/>
                <w:szCs w:val="20"/>
                <w:lang w:val="es-ES"/>
              </w:rPr>
              <w:t xml:space="preserve">transmisibles </w:t>
            </w:r>
            <w:r w:rsidR="00496AC9" w:rsidRPr="009A087E">
              <w:rPr>
                <w:rFonts w:ascii="Calibri" w:eastAsia="Times New Roman" w:hAnsi="Calibri" w:cs="Calibri"/>
                <w:b/>
                <w:bCs/>
                <w:color w:val="FF0000"/>
                <w:sz w:val="20"/>
                <w:szCs w:val="20"/>
                <w:lang w:val="es-ES"/>
              </w:rPr>
              <w:t>maternas, perinatales y nutricionales;</w:t>
            </w:r>
          </w:p>
        </w:tc>
      </w:tr>
      <w:tr w:rsidR="00496AC9" w:rsidRPr="006548ED" w14:paraId="24824F57" w14:textId="77777777" w:rsidTr="00496AC9">
        <w:trPr>
          <w:trHeight w:val="320"/>
        </w:trPr>
        <w:tc>
          <w:tcPr>
            <w:tcW w:w="4855" w:type="dxa"/>
            <w:shd w:val="clear" w:color="auto" w:fill="auto"/>
            <w:vAlign w:val="center"/>
            <w:hideMark/>
          </w:tcPr>
          <w:p w14:paraId="303C6A3C"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Noncommunicable diseases;</w:t>
            </w:r>
          </w:p>
        </w:tc>
        <w:tc>
          <w:tcPr>
            <w:tcW w:w="4410" w:type="dxa"/>
            <w:shd w:val="clear" w:color="auto" w:fill="auto"/>
            <w:vAlign w:val="center"/>
            <w:hideMark/>
          </w:tcPr>
          <w:p w14:paraId="18C4569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 xml:space="preserve">maladies non </w:t>
            </w:r>
            <w:proofErr w:type="spellStart"/>
            <w:r w:rsidRPr="00496AC9">
              <w:rPr>
                <w:rFonts w:ascii="Calibri" w:eastAsia="Times New Roman" w:hAnsi="Calibri" w:cs="Calibri"/>
                <w:color w:val="000000"/>
                <w:sz w:val="20"/>
                <w:szCs w:val="20"/>
              </w:rPr>
              <w:t>transmissibles</w:t>
            </w:r>
            <w:proofErr w:type="spellEnd"/>
            <w:r w:rsidRPr="00496AC9">
              <w:rPr>
                <w:rFonts w:ascii="Calibri" w:eastAsia="Times New Roman" w:hAnsi="Calibri" w:cs="Calibri"/>
                <w:color w:val="000000"/>
                <w:sz w:val="20"/>
                <w:szCs w:val="20"/>
              </w:rPr>
              <w:t>;</w:t>
            </w:r>
          </w:p>
        </w:tc>
        <w:tc>
          <w:tcPr>
            <w:tcW w:w="5310" w:type="dxa"/>
            <w:shd w:val="clear" w:color="auto" w:fill="auto"/>
            <w:vAlign w:val="center"/>
            <w:hideMark/>
          </w:tcPr>
          <w:p w14:paraId="3F39B930"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Enfermedades</w:t>
            </w:r>
            <w:proofErr w:type="spellEnd"/>
            <w:r w:rsidRPr="00496AC9">
              <w:rPr>
                <w:rFonts w:ascii="Calibri" w:eastAsia="Times New Roman" w:hAnsi="Calibri" w:cs="Calibri"/>
                <w:color w:val="000000"/>
                <w:sz w:val="20"/>
                <w:szCs w:val="20"/>
              </w:rPr>
              <w:t xml:space="preserve"> no </w:t>
            </w:r>
            <w:proofErr w:type="spellStart"/>
            <w:r w:rsidRPr="00496AC9">
              <w:rPr>
                <w:rFonts w:ascii="Calibri" w:eastAsia="Times New Roman" w:hAnsi="Calibri" w:cs="Calibri"/>
                <w:color w:val="000000"/>
                <w:sz w:val="20"/>
                <w:szCs w:val="20"/>
              </w:rPr>
              <w:t>transmisibles</w:t>
            </w:r>
            <w:proofErr w:type="spellEnd"/>
            <w:r w:rsidRPr="00496AC9">
              <w:rPr>
                <w:rFonts w:ascii="Calibri" w:eastAsia="Times New Roman" w:hAnsi="Calibri" w:cs="Calibri"/>
                <w:color w:val="000000"/>
                <w:sz w:val="20"/>
                <w:szCs w:val="20"/>
              </w:rPr>
              <w:t>;</w:t>
            </w:r>
          </w:p>
        </w:tc>
      </w:tr>
      <w:tr w:rsidR="00496AC9" w:rsidRPr="00BD0799" w14:paraId="3E509E09" w14:textId="77777777" w:rsidTr="00496AC9">
        <w:trPr>
          <w:trHeight w:val="320"/>
        </w:trPr>
        <w:tc>
          <w:tcPr>
            <w:tcW w:w="4855" w:type="dxa"/>
            <w:shd w:val="clear" w:color="auto" w:fill="auto"/>
            <w:vAlign w:val="center"/>
            <w:hideMark/>
          </w:tcPr>
          <w:p w14:paraId="3AB1FDEC"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Overall, the burden rates have declined in both males and females in most countries between 2000 and 2015. However, males are more likely to have higher burden of disease and disability than females.</w:t>
            </w:r>
          </w:p>
        </w:tc>
        <w:tc>
          <w:tcPr>
            <w:tcW w:w="4410" w:type="dxa"/>
            <w:shd w:val="clear" w:color="auto" w:fill="auto"/>
            <w:vAlign w:val="center"/>
            <w:hideMark/>
          </w:tcPr>
          <w:p w14:paraId="596710FD"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En général, les taux de fardeau ont diminué chez les hommes et les femmes dans la plupart des pays entre 2000 et 2015. Cependant, les hommes ont souvent un fardeau de maladie et d'incapacité plus élevé que les femmes.</w:t>
            </w:r>
          </w:p>
        </w:tc>
        <w:tc>
          <w:tcPr>
            <w:tcW w:w="5310" w:type="dxa"/>
            <w:shd w:val="clear" w:color="auto" w:fill="auto"/>
            <w:vAlign w:val="center"/>
            <w:hideMark/>
          </w:tcPr>
          <w:p w14:paraId="620393F9" w14:textId="7BC2B7C8"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98691E">
              <w:rPr>
                <w:rFonts w:ascii="Calibri" w:eastAsia="Times New Roman" w:hAnsi="Calibri" w:cs="Calibri"/>
                <w:b/>
                <w:bCs/>
                <w:color w:val="FF0000"/>
                <w:sz w:val="20"/>
                <w:szCs w:val="20"/>
                <w:lang w:val="es-ES"/>
              </w:rPr>
              <w:t xml:space="preserve">En general, las tasas de carga han disminuido tanto </w:t>
            </w:r>
            <w:r w:rsidR="0098691E" w:rsidRPr="0098691E">
              <w:rPr>
                <w:rFonts w:ascii="Calibri" w:eastAsia="Times New Roman" w:hAnsi="Calibri" w:cs="Calibri"/>
                <w:b/>
                <w:bCs/>
                <w:color w:val="FF0000"/>
                <w:sz w:val="20"/>
                <w:szCs w:val="20"/>
                <w:lang w:val="es-ES"/>
              </w:rPr>
              <w:t>por los</w:t>
            </w:r>
            <w:r w:rsidRPr="0098691E">
              <w:rPr>
                <w:rFonts w:ascii="Calibri" w:eastAsia="Times New Roman" w:hAnsi="Calibri" w:cs="Calibri"/>
                <w:b/>
                <w:bCs/>
                <w:color w:val="FF0000"/>
                <w:sz w:val="20"/>
                <w:szCs w:val="20"/>
                <w:lang w:val="es-ES"/>
              </w:rPr>
              <w:t xml:space="preserve"> hombres como </w:t>
            </w:r>
            <w:r w:rsidR="0098691E" w:rsidRPr="0098691E">
              <w:rPr>
                <w:rFonts w:ascii="Calibri" w:eastAsia="Times New Roman" w:hAnsi="Calibri" w:cs="Calibri"/>
                <w:b/>
                <w:bCs/>
                <w:color w:val="FF0000"/>
                <w:sz w:val="20"/>
                <w:szCs w:val="20"/>
                <w:lang w:val="es-ES"/>
              </w:rPr>
              <w:t>las</w:t>
            </w:r>
            <w:r w:rsidRPr="0098691E">
              <w:rPr>
                <w:rFonts w:ascii="Calibri" w:eastAsia="Times New Roman" w:hAnsi="Calibri" w:cs="Calibri"/>
                <w:b/>
                <w:bCs/>
                <w:color w:val="FF0000"/>
                <w:sz w:val="20"/>
                <w:szCs w:val="20"/>
                <w:lang w:val="es-ES"/>
              </w:rPr>
              <w:t xml:space="preserve"> mujeres en la mayoría de los países entre</w:t>
            </w:r>
            <w:r w:rsidRPr="0098691E">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2000 y 2015. Sin embargo, los hombres tienen más probabilidades de tener una mayor carga de enfermedad y discapacidad que las mujeres.</w:t>
            </w:r>
          </w:p>
        </w:tc>
      </w:tr>
      <w:tr w:rsidR="00496AC9" w:rsidRPr="00BD0799" w14:paraId="5A36B675" w14:textId="77777777" w:rsidTr="00496AC9">
        <w:trPr>
          <w:trHeight w:val="320"/>
        </w:trPr>
        <w:tc>
          <w:tcPr>
            <w:tcW w:w="4855" w:type="dxa"/>
            <w:shd w:val="clear" w:color="auto" w:fill="auto"/>
            <w:vAlign w:val="center"/>
            <w:hideMark/>
          </w:tcPr>
          <w:p w14:paraId="5CD20EF5"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In general, most countries have seen their burden rates decreased between 2000 and 2015, within each age-group. However, the age-groups 0-4 years or 60-69 years or 70+ years are more likely to have the highest burden of disease and disability.</w:t>
            </w:r>
          </w:p>
        </w:tc>
        <w:tc>
          <w:tcPr>
            <w:tcW w:w="4410" w:type="dxa"/>
            <w:shd w:val="clear" w:color="auto" w:fill="auto"/>
            <w:vAlign w:val="center"/>
            <w:hideMark/>
          </w:tcPr>
          <w:p w14:paraId="0194B48F"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En général, la plupart des pays ont vu leurs taux de fardeau diminuer entre 2000 et 2015, dans chaque groupe d'âge. Cependant, les groupes d'âge 0-4 ans, 60-69 ans ou +70 ans sont les plus touchés de maladie et d'invalidité. </w:t>
            </w:r>
          </w:p>
        </w:tc>
        <w:tc>
          <w:tcPr>
            <w:tcW w:w="5310" w:type="dxa"/>
            <w:shd w:val="clear" w:color="auto" w:fill="auto"/>
            <w:vAlign w:val="center"/>
            <w:hideMark/>
          </w:tcPr>
          <w:p w14:paraId="40DF8679"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En general, la mayoría de los países han visto disminuir sus tasas de carga entre 2000 y 2015, dentro de cada grupo de edad. Sin embargo, los grupos de edad 0-4 años o 60-69 años o más de 70 años tienen más probabilidades de tener la mayor carga de enfermedad y discapacidad.</w:t>
            </w:r>
          </w:p>
        </w:tc>
      </w:tr>
      <w:tr w:rsidR="00496AC9" w:rsidRPr="006548ED" w14:paraId="24FE7738" w14:textId="77777777" w:rsidTr="00496AC9">
        <w:trPr>
          <w:trHeight w:val="320"/>
        </w:trPr>
        <w:tc>
          <w:tcPr>
            <w:tcW w:w="4855" w:type="dxa"/>
            <w:shd w:val="clear" w:color="auto" w:fill="auto"/>
            <w:vAlign w:val="center"/>
            <w:hideMark/>
          </w:tcPr>
          <w:p w14:paraId="3304549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Stratified by:</w:t>
            </w:r>
          </w:p>
        </w:tc>
        <w:tc>
          <w:tcPr>
            <w:tcW w:w="4410" w:type="dxa"/>
            <w:shd w:val="clear" w:color="auto" w:fill="auto"/>
            <w:vAlign w:val="center"/>
            <w:hideMark/>
          </w:tcPr>
          <w:p w14:paraId="482D154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Stratifié</w:t>
            </w:r>
            <w:proofErr w:type="spellEnd"/>
            <w:r w:rsidRPr="00496AC9">
              <w:rPr>
                <w:rFonts w:ascii="Calibri" w:eastAsia="Times New Roman" w:hAnsi="Calibri" w:cs="Calibri"/>
                <w:color w:val="000000"/>
                <w:sz w:val="20"/>
                <w:szCs w:val="20"/>
              </w:rPr>
              <w:t xml:space="preserve"> par:</w:t>
            </w:r>
          </w:p>
        </w:tc>
        <w:tc>
          <w:tcPr>
            <w:tcW w:w="5310" w:type="dxa"/>
            <w:shd w:val="clear" w:color="auto" w:fill="auto"/>
            <w:vAlign w:val="center"/>
            <w:hideMark/>
          </w:tcPr>
          <w:p w14:paraId="0496B73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Estratificado</w:t>
            </w:r>
            <w:proofErr w:type="spellEnd"/>
            <w:r w:rsidRPr="00496AC9">
              <w:rPr>
                <w:rFonts w:ascii="Calibri" w:eastAsia="Times New Roman" w:hAnsi="Calibri" w:cs="Calibri"/>
                <w:color w:val="000000"/>
                <w:sz w:val="20"/>
                <w:szCs w:val="20"/>
              </w:rPr>
              <w:t xml:space="preserve"> por:</w:t>
            </w:r>
          </w:p>
        </w:tc>
      </w:tr>
      <w:tr w:rsidR="00496AC9" w:rsidRPr="006548ED" w14:paraId="7A91E08A" w14:textId="77777777" w:rsidTr="00496AC9">
        <w:trPr>
          <w:trHeight w:val="320"/>
        </w:trPr>
        <w:tc>
          <w:tcPr>
            <w:tcW w:w="4855" w:type="dxa"/>
            <w:shd w:val="clear" w:color="auto" w:fill="auto"/>
            <w:vAlign w:val="center"/>
            <w:hideMark/>
          </w:tcPr>
          <w:p w14:paraId="477E419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Types of cause</w:t>
            </w:r>
          </w:p>
        </w:tc>
        <w:tc>
          <w:tcPr>
            <w:tcW w:w="4410" w:type="dxa"/>
            <w:shd w:val="clear" w:color="auto" w:fill="auto"/>
            <w:vAlign w:val="center"/>
            <w:hideMark/>
          </w:tcPr>
          <w:p w14:paraId="51A75A3B"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Types de cause</w:t>
            </w:r>
          </w:p>
        </w:tc>
        <w:tc>
          <w:tcPr>
            <w:tcW w:w="5310" w:type="dxa"/>
            <w:shd w:val="clear" w:color="auto" w:fill="auto"/>
            <w:vAlign w:val="center"/>
            <w:hideMark/>
          </w:tcPr>
          <w:p w14:paraId="1C3D667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Tipos</w:t>
            </w:r>
            <w:proofErr w:type="spellEnd"/>
            <w:r w:rsidRPr="00496AC9">
              <w:rPr>
                <w:rFonts w:ascii="Calibri" w:eastAsia="Times New Roman" w:hAnsi="Calibri" w:cs="Calibri"/>
                <w:color w:val="000000"/>
                <w:sz w:val="20"/>
                <w:szCs w:val="20"/>
              </w:rPr>
              <w:t xml:space="preserve"> de causa</w:t>
            </w:r>
          </w:p>
        </w:tc>
      </w:tr>
      <w:tr w:rsidR="00496AC9" w:rsidRPr="006548ED" w14:paraId="5654EC39" w14:textId="77777777" w:rsidTr="00496AC9">
        <w:trPr>
          <w:trHeight w:val="320"/>
        </w:trPr>
        <w:tc>
          <w:tcPr>
            <w:tcW w:w="4855" w:type="dxa"/>
            <w:shd w:val="clear" w:color="auto" w:fill="auto"/>
            <w:vAlign w:val="center"/>
            <w:hideMark/>
          </w:tcPr>
          <w:p w14:paraId="017254B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Overall, every WHO region has seen some decline in burden rates between 2000 and 2015. However, the</w:t>
            </w:r>
          </w:p>
        </w:tc>
        <w:tc>
          <w:tcPr>
            <w:tcW w:w="4410" w:type="dxa"/>
            <w:shd w:val="clear" w:color="auto" w:fill="auto"/>
            <w:vAlign w:val="center"/>
            <w:hideMark/>
          </w:tcPr>
          <w:p w14:paraId="1A27B1B7"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E56DFA">
              <w:rPr>
                <w:rFonts w:ascii="Calibri" w:eastAsia="Times New Roman" w:hAnsi="Calibri" w:cs="Calibri"/>
                <w:color w:val="000000"/>
                <w:sz w:val="20"/>
                <w:szCs w:val="20"/>
                <w:lang w:val="fr-FR"/>
              </w:rPr>
              <w:t xml:space="preserve">Globalement, les taux de charge ont diminué dans toutes les régions de l'OMS entre 2000 et 2015. </w:t>
            </w:r>
            <w:proofErr w:type="spellStart"/>
            <w:r w:rsidRPr="00496AC9">
              <w:rPr>
                <w:rFonts w:ascii="Calibri" w:eastAsia="Times New Roman" w:hAnsi="Calibri" w:cs="Calibri"/>
                <w:color w:val="000000"/>
                <w:sz w:val="20"/>
                <w:szCs w:val="20"/>
              </w:rPr>
              <w:t>Toutefois</w:t>
            </w:r>
            <w:proofErr w:type="spellEnd"/>
            <w:r w:rsidRPr="00496AC9">
              <w:rPr>
                <w:rFonts w:ascii="Calibri" w:eastAsia="Times New Roman" w:hAnsi="Calibri" w:cs="Calibri"/>
                <w:color w:val="000000"/>
                <w:sz w:val="20"/>
                <w:szCs w:val="20"/>
              </w:rPr>
              <w:t>, le</w:t>
            </w:r>
          </w:p>
        </w:tc>
        <w:tc>
          <w:tcPr>
            <w:tcW w:w="5310" w:type="dxa"/>
            <w:shd w:val="clear" w:color="auto" w:fill="auto"/>
            <w:vAlign w:val="center"/>
            <w:hideMark/>
          </w:tcPr>
          <w:p w14:paraId="7FD981C9"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E56DFA">
              <w:rPr>
                <w:rFonts w:ascii="Calibri" w:eastAsia="Times New Roman" w:hAnsi="Calibri" w:cs="Calibri"/>
                <w:color w:val="000000"/>
                <w:sz w:val="20"/>
                <w:szCs w:val="20"/>
                <w:lang w:val="es-ES"/>
              </w:rPr>
              <w:t xml:space="preserve">En general, cada región de la OMS ha visto una disminución en las tasas de carga entre 2000 y 2015. </w:t>
            </w:r>
            <w:r w:rsidRPr="00496AC9">
              <w:rPr>
                <w:rFonts w:ascii="Calibri" w:eastAsia="Times New Roman" w:hAnsi="Calibri" w:cs="Calibri"/>
                <w:color w:val="000000"/>
                <w:sz w:val="20"/>
                <w:szCs w:val="20"/>
              </w:rPr>
              <w:t>Sin embargo, el</w:t>
            </w:r>
          </w:p>
        </w:tc>
      </w:tr>
      <w:tr w:rsidR="00496AC9" w:rsidRPr="00BD0799" w14:paraId="06E032E5" w14:textId="77777777" w:rsidTr="00496AC9">
        <w:trPr>
          <w:trHeight w:val="320"/>
        </w:trPr>
        <w:tc>
          <w:tcPr>
            <w:tcW w:w="4855" w:type="dxa"/>
            <w:shd w:val="clear" w:color="auto" w:fill="auto"/>
            <w:vAlign w:val="center"/>
            <w:hideMark/>
          </w:tcPr>
          <w:p w14:paraId="4A363514"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had the highest burden rates and the greatest decline in burden rates between 2000 and 2015.</w:t>
            </w:r>
          </w:p>
        </w:tc>
        <w:tc>
          <w:tcPr>
            <w:tcW w:w="4410" w:type="dxa"/>
            <w:shd w:val="clear" w:color="auto" w:fill="auto"/>
            <w:vAlign w:val="center"/>
            <w:hideMark/>
          </w:tcPr>
          <w:p w14:paraId="1C9F2532"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proofErr w:type="gramStart"/>
            <w:r w:rsidRPr="00E56DFA">
              <w:rPr>
                <w:rFonts w:ascii="Calibri" w:eastAsia="Times New Roman" w:hAnsi="Calibri" w:cs="Calibri"/>
                <w:color w:val="000000"/>
                <w:sz w:val="20"/>
                <w:szCs w:val="20"/>
                <w:lang w:val="fr-FR"/>
              </w:rPr>
              <w:t>avait</w:t>
            </w:r>
            <w:proofErr w:type="gramEnd"/>
            <w:r w:rsidRPr="00E56DFA">
              <w:rPr>
                <w:rFonts w:ascii="Calibri" w:eastAsia="Times New Roman" w:hAnsi="Calibri" w:cs="Calibri"/>
                <w:color w:val="000000"/>
                <w:sz w:val="20"/>
                <w:szCs w:val="20"/>
                <w:lang w:val="fr-FR"/>
              </w:rPr>
              <w:t xml:space="preserve"> les taux de fardeau les plus élevés et la plus forte baisse des taux des différentes mesures de fardeau entre 2000 et 2015.</w:t>
            </w:r>
          </w:p>
        </w:tc>
        <w:tc>
          <w:tcPr>
            <w:tcW w:w="5310" w:type="dxa"/>
            <w:shd w:val="clear" w:color="auto" w:fill="auto"/>
            <w:vAlign w:val="center"/>
            <w:hideMark/>
          </w:tcPr>
          <w:p w14:paraId="2062BC58"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tuvo las tasas de carga más altas y la mayor disminución en las tasas de carga entre 2000 y 2015.</w:t>
            </w:r>
          </w:p>
        </w:tc>
      </w:tr>
      <w:tr w:rsidR="00496AC9" w:rsidRPr="00BD0799" w14:paraId="119B9F3E" w14:textId="77777777" w:rsidTr="00496AC9">
        <w:trPr>
          <w:trHeight w:val="320"/>
        </w:trPr>
        <w:tc>
          <w:tcPr>
            <w:tcW w:w="4855" w:type="dxa"/>
            <w:shd w:val="clear" w:color="auto" w:fill="auto"/>
            <w:vAlign w:val="center"/>
            <w:hideMark/>
          </w:tcPr>
          <w:p w14:paraId="2F95FE5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A stratification by types of cause shows that</w:t>
            </w:r>
          </w:p>
        </w:tc>
        <w:tc>
          <w:tcPr>
            <w:tcW w:w="4410" w:type="dxa"/>
            <w:shd w:val="clear" w:color="auto" w:fill="auto"/>
            <w:vAlign w:val="center"/>
            <w:hideMark/>
          </w:tcPr>
          <w:p w14:paraId="284BA228"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Une stratification par type de cause montre que</w:t>
            </w:r>
          </w:p>
        </w:tc>
        <w:tc>
          <w:tcPr>
            <w:tcW w:w="5310" w:type="dxa"/>
            <w:shd w:val="clear" w:color="auto" w:fill="auto"/>
            <w:vAlign w:val="center"/>
            <w:hideMark/>
          </w:tcPr>
          <w:p w14:paraId="78989BBD"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Una estratificación por tipos de causa muestra que</w:t>
            </w:r>
          </w:p>
        </w:tc>
      </w:tr>
      <w:tr w:rsidR="00496AC9" w:rsidRPr="00BD0799" w14:paraId="392C5CDF" w14:textId="77777777" w:rsidTr="00496AC9">
        <w:trPr>
          <w:trHeight w:val="320"/>
        </w:trPr>
        <w:tc>
          <w:tcPr>
            <w:tcW w:w="4855" w:type="dxa"/>
            <w:shd w:val="clear" w:color="auto" w:fill="auto"/>
            <w:vAlign w:val="center"/>
            <w:hideMark/>
          </w:tcPr>
          <w:p w14:paraId="1EED443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A stratification by sex shows that males are more likely to have higher burden rates than females regardless of the WHO region. However, the gap between males and females has reduced in all WHO regions over the years.</w:t>
            </w:r>
          </w:p>
        </w:tc>
        <w:tc>
          <w:tcPr>
            <w:tcW w:w="4410" w:type="dxa"/>
            <w:shd w:val="clear" w:color="auto" w:fill="auto"/>
            <w:vAlign w:val="center"/>
            <w:hideMark/>
          </w:tcPr>
          <w:p w14:paraId="0F5FA869"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Une stratification par sexe montre que les hommes sont plus susceptibles d'avoir des taux de charge plus élevés que les femmes, quelle que soit la région de l'OMS. Cependant, l'écart entre les hommes et les femmes a diminué dans toutes les régions de l'OMS au fil des années.</w:t>
            </w:r>
          </w:p>
        </w:tc>
        <w:tc>
          <w:tcPr>
            <w:tcW w:w="5310" w:type="dxa"/>
            <w:shd w:val="clear" w:color="auto" w:fill="auto"/>
            <w:vAlign w:val="center"/>
            <w:hideMark/>
          </w:tcPr>
          <w:p w14:paraId="63CC8C39" w14:textId="58EA16F3"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 xml:space="preserve">Una estratificación por sexo </w:t>
            </w:r>
            <w:r w:rsidR="0098691E" w:rsidRPr="0098691E">
              <w:rPr>
                <w:rFonts w:ascii="Calibri" w:eastAsia="Times New Roman" w:hAnsi="Calibri" w:cs="Calibri"/>
                <w:b/>
                <w:bCs/>
                <w:color w:val="FF0000"/>
                <w:sz w:val="20"/>
                <w:szCs w:val="20"/>
                <w:lang w:val="es-ES"/>
              </w:rPr>
              <w:t>enseña</w:t>
            </w:r>
            <w:r w:rsidRPr="0098691E">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 xml:space="preserve">que los hombres tienen más probabilidades de tener tasas de carga más altas que las mujeres, independientemente de la región de la OMS. Sin embargo, </w:t>
            </w:r>
            <w:r w:rsidR="0098691E" w:rsidRPr="0098691E">
              <w:rPr>
                <w:rFonts w:ascii="Calibri" w:eastAsia="Times New Roman" w:hAnsi="Calibri" w:cs="Calibri"/>
                <w:b/>
                <w:bCs/>
                <w:color w:val="FF0000"/>
                <w:sz w:val="20"/>
                <w:szCs w:val="20"/>
                <w:lang w:val="es-ES"/>
              </w:rPr>
              <w:t>el hueco</w:t>
            </w:r>
            <w:r w:rsidR="0098691E" w:rsidRPr="0098691E">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entre hombres y mujeres se ha reducido en todas las regiones de la OMS a lo largo de los años.</w:t>
            </w:r>
          </w:p>
        </w:tc>
      </w:tr>
      <w:tr w:rsidR="00496AC9" w:rsidRPr="006548ED" w14:paraId="5DF0B51D" w14:textId="77777777" w:rsidTr="00496AC9">
        <w:trPr>
          <w:trHeight w:val="320"/>
        </w:trPr>
        <w:tc>
          <w:tcPr>
            <w:tcW w:w="4855" w:type="dxa"/>
            <w:shd w:val="clear" w:color="auto" w:fill="auto"/>
            <w:vAlign w:val="center"/>
            <w:hideMark/>
          </w:tcPr>
          <w:p w14:paraId="50AB17F4"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Low-income economies;</w:t>
            </w:r>
          </w:p>
        </w:tc>
        <w:tc>
          <w:tcPr>
            <w:tcW w:w="4410" w:type="dxa"/>
            <w:shd w:val="clear" w:color="auto" w:fill="auto"/>
            <w:vAlign w:val="center"/>
            <w:hideMark/>
          </w:tcPr>
          <w:p w14:paraId="4EC2BC1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Économies</w:t>
            </w:r>
            <w:proofErr w:type="spellEnd"/>
            <w:r w:rsidRPr="00496AC9">
              <w:rPr>
                <w:rFonts w:ascii="Calibri" w:eastAsia="Times New Roman" w:hAnsi="Calibri" w:cs="Calibri"/>
                <w:color w:val="000000"/>
                <w:sz w:val="20"/>
                <w:szCs w:val="20"/>
              </w:rPr>
              <w:t xml:space="preserve"> à </w:t>
            </w:r>
            <w:proofErr w:type="spellStart"/>
            <w:r w:rsidRPr="00496AC9">
              <w:rPr>
                <w:rFonts w:ascii="Calibri" w:eastAsia="Times New Roman" w:hAnsi="Calibri" w:cs="Calibri"/>
                <w:color w:val="000000"/>
                <w:sz w:val="20"/>
                <w:szCs w:val="20"/>
              </w:rPr>
              <w:t>faible</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revenu</w:t>
            </w:r>
            <w:proofErr w:type="spellEnd"/>
            <w:r w:rsidRPr="00496AC9">
              <w:rPr>
                <w:rFonts w:ascii="Calibri" w:eastAsia="Times New Roman" w:hAnsi="Calibri" w:cs="Calibri"/>
                <w:color w:val="000000"/>
                <w:sz w:val="20"/>
                <w:szCs w:val="20"/>
              </w:rPr>
              <w:t>;</w:t>
            </w:r>
          </w:p>
        </w:tc>
        <w:tc>
          <w:tcPr>
            <w:tcW w:w="5310" w:type="dxa"/>
            <w:shd w:val="clear" w:color="auto" w:fill="auto"/>
            <w:vAlign w:val="center"/>
            <w:hideMark/>
          </w:tcPr>
          <w:p w14:paraId="1FB78186"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Economías</w:t>
            </w:r>
            <w:proofErr w:type="spellEnd"/>
            <w:r w:rsidRPr="00496AC9">
              <w:rPr>
                <w:rFonts w:ascii="Calibri" w:eastAsia="Times New Roman" w:hAnsi="Calibri" w:cs="Calibri"/>
                <w:color w:val="000000"/>
                <w:sz w:val="20"/>
                <w:szCs w:val="20"/>
              </w:rPr>
              <w:t xml:space="preserve"> de </w:t>
            </w:r>
            <w:proofErr w:type="spellStart"/>
            <w:r w:rsidRPr="00496AC9">
              <w:rPr>
                <w:rFonts w:ascii="Calibri" w:eastAsia="Times New Roman" w:hAnsi="Calibri" w:cs="Calibri"/>
                <w:color w:val="000000"/>
                <w:sz w:val="20"/>
                <w:szCs w:val="20"/>
              </w:rPr>
              <w:t>bajos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ingresos</w:t>
            </w:r>
            <w:proofErr w:type="spellEnd"/>
            <w:r w:rsidRPr="00496AC9">
              <w:rPr>
                <w:rFonts w:ascii="Calibri" w:eastAsia="Times New Roman" w:hAnsi="Calibri" w:cs="Calibri"/>
                <w:color w:val="000000"/>
                <w:sz w:val="20"/>
                <w:szCs w:val="20"/>
              </w:rPr>
              <w:t>;</w:t>
            </w:r>
          </w:p>
        </w:tc>
      </w:tr>
      <w:tr w:rsidR="00496AC9" w:rsidRPr="00BD0799" w14:paraId="1140D0F8" w14:textId="77777777" w:rsidTr="00496AC9">
        <w:trPr>
          <w:trHeight w:val="320"/>
        </w:trPr>
        <w:tc>
          <w:tcPr>
            <w:tcW w:w="4855" w:type="dxa"/>
            <w:shd w:val="clear" w:color="auto" w:fill="auto"/>
            <w:vAlign w:val="center"/>
            <w:hideMark/>
          </w:tcPr>
          <w:p w14:paraId="0322DBF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Lower-middle-income economies;</w:t>
            </w:r>
          </w:p>
        </w:tc>
        <w:tc>
          <w:tcPr>
            <w:tcW w:w="4410" w:type="dxa"/>
            <w:shd w:val="clear" w:color="auto" w:fill="auto"/>
            <w:vAlign w:val="center"/>
            <w:hideMark/>
          </w:tcPr>
          <w:p w14:paraId="6B5E70B8"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Économies à revenu intermédiaire </w:t>
            </w:r>
            <w:proofErr w:type="gramStart"/>
            <w:r w:rsidRPr="00E56DFA">
              <w:rPr>
                <w:rFonts w:ascii="Calibri" w:eastAsia="Times New Roman" w:hAnsi="Calibri" w:cs="Calibri"/>
                <w:color w:val="000000"/>
                <w:sz w:val="20"/>
                <w:szCs w:val="20"/>
                <w:lang w:val="fr-FR"/>
              </w:rPr>
              <w:t>inférieur;</w:t>
            </w:r>
            <w:proofErr w:type="gramEnd"/>
          </w:p>
        </w:tc>
        <w:tc>
          <w:tcPr>
            <w:tcW w:w="5310" w:type="dxa"/>
            <w:shd w:val="clear" w:color="auto" w:fill="auto"/>
            <w:vAlign w:val="center"/>
            <w:hideMark/>
          </w:tcPr>
          <w:p w14:paraId="21172DB2"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Economías de ingreso medio bajo;</w:t>
            </w:r>
          </w:p>
        </w:tc>
      </w:tr>
      <w:tr w:rsidR="00496AC9" w:rsidRPr="00BD0799" w14:paraId="36063158" w14:textId="77777777" w:rsidTr="00496AC9">
        <w:trPr>
          <w:trHeight w:val="320"/>
        </w:trPr>
        <w:tc>
          <w:tcPr>
            <w:tcW w:w="4855" w:type="dxa"/>
            <w:shd w:val="clear" w:color="auto" w:fill="auto"/>
            <w:vAlign w:val="center"/>
            <w:hideMark/>
          </w:tcPr>
          <w:p w14:paraId="7BA9075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Upper-middle-income economies;</w:t>
            </w:r>
          </w:p>
        </w:tc>
        <w:tc>
          <w:tcPr>
            <w:tcW w:w="4410" w:type="dxa"/>
            <w:shd w:val="clear" w:color="auto" w:fill="auto"/>
            <w:vAlign w:val="center"/>
            <w:hideMark/>
          </w:tcPr>
          <w:p w14:paraId="1E8C99DC"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Économies à revenu intermédiaire </w:t>
            </w:r>
            <w:proofErr w:type="gramStart"/>
            <w:r w:rsidRPr="00E56DFA">
              <w:rPr>
                <w:rFonts w:ascii="Calibri" w:eastAsia="Times New Roman" w:hAnsi="Calibri" w:cs="Calibri"/>
                <w:color w:val="000000"/>
                <w:sz w:val="20"/>
                <w:szCs w:val="20"/>
                <w:lang w:val="fr-FR"/>
              </w:rPr>
              <w:t>supérieur;</w:t>
            </w:r>
            <w:proofErr w:type="gramEnd"/>
          </w:p>
        </w:tc>
        <w:tc>
          <w:tcPr>
            <w:tcW w:w="5310" w:type="dxa"/>
            <w:shd w:val="clear" w:color="auto" w:fill="auto"/>
            <w:vAlign w:val="center"/>
            <w:hideMark/>
          </w:tcPr>
          <w:p w14:paraId="12F75861" w14:textId="77777777"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Economías de ingreso medio-alto;</w:t>
            </w:r>
          </w:p>
        </w:tc>
      </w:tr>
      <w:tr w:rsidR="00496AC9" w:rsidRPr="006548ED" w14:paraId="013963A3" w14:textId="77777777" w:rsidTr="00496AC9">
        <w:trPr>
          <w:trHeight w:val="320"/>
        </w:trPr>
        <w:tc>
          <w:tcPr>
            <w:tcW w:w="4855" w:type="dxa"/>
            <w:shd w:val="clear" w:color="auto" w:fill="auto"/>
            <w:vAlign w:val="center"/>
            <w:hideMark/>
          </w:tcPr>
          <w:p w14:paraId="5AC76E7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High-income economies.</w:t>
            </w:r>
          </w:p>
        </w:tc>
        <w:tc>
          <w:tcPr>
            <w:tcW w:w="4410" w:type="dxa"/>
            <w:shd w:val="clear" w:color="auto" w:fill="auto"/>
            <w:vAlign w:val="center"/>
            <w:hideMark/>
          </w:tcPr>
          <w:p w14:paraId="2FE6220D"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Économies</w:t>
            </w:r>
            <w:proofErr w:type="spellEnd"/>
            <w:r w:rsidRPr="00496AC9">
              <w:rPr>
                <w:rFonts w:ascii="Calibri" w:eastAsia="Times New Roman" w:hAnsi="Calibri" w:cs="Calibri"/>
                <w:color w:val="000000"/>
                <w:sz w:val="20"/>
                <w:szCs w:val="20"/>
              </w:rPr>
              <w:t xml:space="preserve"> à </w:t>
            </w:r>
            <w:proofErr w:type="spellStart"/>
            <w:r w:rsidRPr="00496AC9">
              <w:rPr>
                <w:rFonts w:ascii="Calibri" w:eastAsia="Times New Roman" w:hAnsi="Calibri" w:cs="Calibri"/>
                <w:color w:val="000000"/>
                <w:sz w:val="20"/>
                <w:szCs w:val="20"/>
              </w:rPr>
              <w:t>revenu</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élevé</w:t>
            </w:r>
            <w:proofErr w:type="spellEnd"/>
            <w:r w:rsidRPr="00496AC9">
              <w:rPr>
                <w:rFonts w:ascii="Calibri" w:eastAsia="Times New Roman" w:hAnsi="Calibri" w:cs="Calibri"/>
                <w:color w:val="000000"/>
                <w:sz w:val="20"/>
                <w:szCs w:val="20"/>
              </w:rPr>
              <w:t>.</w:t>
            </w:r>
          </w:p>
        </w:tc>
        <w:tc>
          <w:tcPr>
            <w:tcW w:w="5310" w:type="dxa"/>
            <w:shd w:val="clear" w:color="auto" w:fill="auto"/>
            <w:vAlign w:val="center"/>
            <w:hideMark/>
          </w:tcPr>
          <w:p w14:paraId="2AB51D7F"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Economías</w:t>
            </w:r>
            <w:proofErr w:type="spellEnd"/>
            <w:r w:rsidRPr="00496AC9">
              <w:rPr>
                <w:rFonts w:ascii="Calibri" w:eastAsia="Times New Roman" w:hAnsi="Calibri" w:cs="Calibri"/>
                <w:color w:val="000000"/>
                <w:sz w:val="20"/>
                <w:szCs w:val="20"/>
              </w:rPr>
              <w:t xml:space="preserve"> de altos </w:t>
            </w:r>
            <w:proofErr w:type="spellStart"/>
            <w:r w:rsidRPr="00496AC9">
              <w:rPr>
                <w:rFonts w:ascii="Calibri" w:eastAsia="Times New Roman" w:hAnsi="Calibri" w:cs="Calibri"/>
                <w:color w:val="000000"/>
                <w:sz w:val="20"/>
                <w:szCs w:val="20"/>
              </w:rPr>
              <w:t>ingresos</w:t>
            </w:r>
            <w:proofErr w:type="spellEnd"/>
            <w:r w:rsidRPr="00496AC9">
              <w:rPr>
                <w:rFonts w:ascii="Calibri" w:eastAsia="Times New Roman" w:hAnsi="Calibri" w:cs="Calibri"/>
                <w:color w:val="000000"/>
                <w:sz w:val="20"/>
                <w:szCs w:val="20"/>
              </w:rPr>
              <w:t>.</w:t>
            </w:r>
          </w:p>
        </w:tc>
      </w:tr>
      <w:tr w:rsidR="006548ED" w:rsidRPr="00BD0799" w14:paraId="421277E0" w14:textId="77777777" w:rsidTr="00F87771">
        <w:trPr>
          <w:trHeight w:val="320"/>
        </w:trPr>
        <w:tc>
          <w:tcPr>
            <w:tcW w:w="4855" w:type="dxa"/>
            <w:shd w:val="clear" w:color="auto" w:fill="auto"/>
            <w:vAlign w:val="bottom"/>
            <w:hideMark/>
          </w:tcPr>
          <w:p w14:paraId="2B7593E1" w14:textId="44599337" w:rsidR="006548ED" w:rsidRPr="00496AC9" w:rsidRDefault="006548ED" w:rsidP="006548ED">
            <w:pPr>
              <w:spacing w:before="0" w:after="0"/>
              <w:ind w:firstLine="0"/>
              <w:jc w:val="left"/>
              <w:rPr>
                <w:rFonts w:ascii="Calibri" w:eastAsia="Times New Roman" w:hAnsi="Calibri" w:cs="Calibri"/>
                <w:color w:val="000000"/>
                <w:sz w:val="20"/>
                <w:szCs w:val="20"/>
              </w:rPr>
            </w:pPr>
            <w:r w:rsidRPr="006548ED">
              <w:rPr>
                <w:rFonts w:ascii="Calibri" w:hAnsi="Calibri" w:cs="Calibri"/>
                <w:color w:val="000000"/>
                <w:sz w:val="20"/>
                <w:szCs w:val="20"/>
              </w:rPr>
              <w:t>A stratification by sex shows that males are more likely to have higher burden rates than females regardless of the World Bank Income group. Here as well, the gap between males and females has reduced in all World Bank Income groups over the years.</w:t>
            </w:r>
          </w:p>
        </w:tc>
        <w:tc>
          <w:tcPr>
            <w:tcW w:w="4410" w:type="dxa"/>
            <w:shd w:val="clear" w:color="auto" w:fill="auto"/>
            <w:vAlign w:val="bottom"/>
            <w:hideMark/>
          </w:tcPr>
          <w:p w14:paraId="58B6FA1D" w14:textId="0B8E364D" w:rsidR="006548ED" w:rsidRPr="00E56DFA" w:rsidRDefault="006548ED" w:rsidP="006548ED">
            <w:pPr>
              <w:spacing w:before="0" w:after="0"/>
              <w:ind w:firstLine="0"/>
              <w:jc w:val="left"/>
              <w:rPr>
                <w:rFonts w:ascii="Calibri" w:eastAsia="Times New Roman" w:hAnsi="Calibri" w:cs="Calibri"/>
                <w:color w:val="000000"/>
                <w:sz w:val="20"/>
                <w:szCs w:val="20"/>
                <w:lang w:val="fr-FR"/>
              </w:rPr>
            </w:pPr>
            <w:r w:rsidRPr="00E56DFA">
              <w:rPr>
                <w:rFonts w:ascii="Calibri" w:hAnsi="Calibri" w:cs="Calibri"/>
                <w:color w:val="000000"/>
                <w:sz w:val="20"/>
                <w:szCs w:val="20"/>
                <w:lang w:val="fr-FR"/>
              </w:rPr>
              <w:t>Une stratification par sexe montre que les hommes sont plus susceptibles d'avoir des taux de charge plus élevés que les femmes, quel que soit le groupe de revenu de la Banque Mondiale. Ici aussi, l'écart entre hommes et femmes s'est réduit dans tous les groupes de revenu de la Banque Mondiale au fil des années.</w:t>
            </w:r>
          </w:p>
        </w:tc>
        <w:tc>
          <w:tcPr>
            <w:tcW w:w="5310" w:type="dxa"/>
            <w:shd w:val="clear" w:color="auto" w:fill="auto"/>
            <w:vAlign w:val="bottom"/>
            <w:hideMark/>
          </w:tcPr>
          <w:p w14:paraId="7EA604C8" w14:textId="54857E6F" w:rsidR="006548ED" w:rsidRPr="00E56DFA" w:rsidRDefault="006548ED" w:rsidP="006548ED">
            <w:pPr>
              <w:spacing w:before="0" w:after="0"/>
              <w:ind w:firstLine="0"/>
              <w:jc w:val="left"/>
              <w:rPr>
                <w:rFonts w:ascii="Calibri" w:eastAsia="Times New Roman" w:hAnsi="Calibri" w:cs="Calibri"/>
                <w:color w:val="000000"/>
                <w:sz w:val="20"/>
                <w:szCs w:val="20"/>
                <w:lang w:val="es-ES"/>
              </w:rPr>
            </w:pPr>
            <w:r w:rsidRPr="0098691E">
              <w:rPr>
                <w:rFonts w:ascii="Calibri" w:hAnsi="Calibri" w:cs="Calibri"/>
                <w:b/>
                <w:bCs/>
                <w:color w:val="FF0000"/>
                <w:sz w:val="20"/>
                <w:szCs w:val="20"/>
                <w:lang w:val="es-ES"/>
              </w:rPr>
              <w:t>Un</w:t>
            </w:r>
            <w:r w:rsidR="0098691E" w:rsidRPr="0098691E">
              <w:rPr>
                <w:rFonts w:ascii="Calibri" w:hAnsi="Calibri" w:cs="Calibri"/>
                <w:b/>
                <w:bCs/>
                <w:color w:val="FF0000"/>
                <w:sz w:val="20"/>
                <w:szCs w:val="20"/>
                <w:lang w:val="es-ES"/>
              </w:rPr>
              <w:t>a</w:t>
            </w:r>
            <w:r w:rsidRPr="0098691E">
              <w:rPr>
                <w:rFonts w:ascii="Calibri" w:hAnsi="Calibri" w:cs="Calibri"/>
                <w:b/>
                <w:bCs/>
                <w:color w:val="FF0000"/>
                <w:sz w:val="20"/>
                <w:szCs w:val="20"/>
                <w:lang w:val="es-ES"/>
              </w:rPr>
              <w:t xml:space="preserve"> </w:t>
            </w:r>
            <w:r w:rsidR="0098691E" w:rsidRPr="0098691E">
              <w:rPr>
                <w:rFonts w:ascii="Calibri" w:hAnsi="Calibri" w:cs="Calibri"/>
                <w:b/>
                <w:bCs/>
                <w:color w:val="FF0000"/>
                <w:sz w:val="20"/>
                <w:szCs w:val="20"/>
                <w:lang w:val="es-ES"/>
              </w:rPr>
              <w:t>estratificación</w:t>
            </w:r>
            <w:r w:rsidRPr="0098691E">
              <w:rPr>
                <w:rFonts w:ascii="Calibri" w:hAnsi="Calibri" w:cs="Calibri"/>
                <w:b/>
                <w:bCs/>
                <w:color w:val="FF0000"/>
                <w:sz w:val="20"/>
                <w:szCs w:val="20"/>
                <w:lang w:val="es-ES"/>
              </w:rPr>
              <w:t xml:space="preserve"> por sexo </w:t>
            </w:r>
            <w:r w:rsidR="0098691E" w:rsidRPr="0098691E">
              <w:rPr>
                <w:rFonts w:ascii="Calibri" w:hAnsi="Calibri" w:cs="Calibri"/>
                <w:b/>
                <w:bCs/>
                <w:color w:val="FF0000"/>
                <w:sz w:val="20"/>
                <w:szCs w:val="20"/>
                <w:lang w:val="es-ES"/>
              </w:rPr>
              <w:t xml:space="preserve">enseña que los hombres tienen </w:t>
            </w:r>
            <w:r w:rsidRPr="0098691E">
              <w:rPr>
                <w:rFonts w:ascii="Calibri" w:hAnsi="Calibri" w:cs="Calibri"/>
                <w:b/>
                <w:bCs/>
                <w:color w:val="FF0000"/>
                <w:sz w:val="20"/>
                <w:szCs w:val="20"/>
                <w:lang w:val="es-ES"/>
              </w:rPr>
              <w:t>más propenso a carga</w:t>
            </w:r>
            <w:r w:rsidR="0098691E" w:rsidRPr="0098691E">
              <w:rPr>
                <w:rFonts w:ascii="Calibri" w:hAnsi="Calibri" w:cs="Calibri"/>
                <w:b/>
                <w:bCs/>
                <w:color w:val="FF0000"/>
                <w:sz w:val="20"/>
                <w:szCs w:val="20"/>
                <w:lang w:val="es-ES"/>
              </w:rPr>
              <w:t xml:space="preserve">s </w:t>
            </w:r>
            <w:r w:rsidRPr="0098691E">
              <w:rPr>
                <w:rFonts w:ascii="Calibri" w:hAnsi="Calibri" w:cs="Calibri"/>
                <w:b/>
                <w:bCs/>
                <w:color w:val="FF0000"/>
                <w:sz w:val="20"/>
                <w:szCs w:val="20"/>
                <w:lang w:val="es-ES"/>
              </w:rPr>
              <w:t xml:space="preserve">que las mujeres </w:t>
            </w:r>
            <w:r w:rsidR="0098691E" w:rsidRPr="0098691E">
              <w:rPr>
                <w:rFonts w:ascii="Calibri" w:hAnsi="Calibri" w:cs="Calibri"/>
                <w:b/>
                <w:bCs/>
                <w:color w:val="FF0000"/>
                <w:sz w:val="20"/>
                <w:szCs w:val="20"/>
                <w:lang w:val="es-ES"/>
              </w:rPr>
              <w:t>sea que sea el</w:t>
            </w:r>
            <w:r w:rsidRPr="0098691E">
              <w:rPr>
                <w:rFonts w:ascii="Calibri" w:hAnsi="Calibri" w:cs="Calibri"/>
                <w:b/>
                <w:bCs/>
                <w:color w:val="FF0000"/>
                <w:sz w:val="20"/>
                <w:szCs w:val="20"/>
                <w:lang w:val="es-ES"/>
              </w:rPr>
              <w:t xml:space="preserve"> grupo de ingresos del Banco Mundial</w:t>
            </w:r>
            <w:r w:rsidRPr="00E56DFA">
              <w:rPr>
                <w:rFonts w:ascii="Calibri" w:hAnsi="Calibri" w:cs="Calibri"/>
                <w:color w:val="000000"/>
                <w:sz w:val="20"/>
                <w:szCs w:val="20"/>
                <w:lang w:val="es-ES"/>
              </w:rPr>
              <w:t xml:space="preserve">. </w:t>
            </w:r>
            <w:r w:rsidRPr="0098691E">
              <w:rPr>
                <w:rFonts w:ascii="Calibri" w:hAnsi="Calibri" w:cs="Calibri"/>
                <w:b/>
                <w:bCs/>
                <w:color w:val="FF0000"/>
                <w:sz w:val="20"/>
                <w:szCs w:val="20"/>
                <w:lang w:val="es-ES"/>
              </w:rPr>
              <w:t>Aquí</w:t>
            </w:r>
            <w:r w:rsidR="0098691E" w:rsidRPr="0098691E">
              <w:rPr>
                <w:rFonts w:ascii="Calibri" w:hAnsi="Calibri" w:cs="Calibri"/>
                <w:b/>
                <w:bCs/>
                <w:color w:val="FF0000"/>
                <w:sz w:val="20"/>
                <w:szCs w:val="20"/>
                <w:lang w:val="es-ES"/>
              </w:rPr>
              <w:t>, el hueco</w:t>
            </w:r>
            <w:r w:rsidRPr="0098691E">
              <w:rPr>
                <w:rFonts w:ascii="Calibri" w:hAnsi="Calibri" w:cs="Calibri"/>
                <w:color w:val="FF0000"/>
                <w:sz w:val="20"/>
                <w:szCs w:val="20"/>
                <w:lang w:val="es-ES"/>
              </w:rPr>
              <w:t xml:space="preserve"> </w:t>
            </w:r>
            <w:r w:rsidRPr="00E56DFA">
              <w:rPr>
                <w:rFonts w:ascii="Calibri" w:hAnsi="Calibri" w:cs="Calibri"/>
                <w:color w:val="000000"/>
                <w:sz w:val="20"/>
                <w:szCs w:val="20"/>
                <w:lang w:val="es-ES"/>
              </w:rPr>
              <w:t>entre hombres y mujeres se ha reducido en todos los grupos de ingresos del Banco Mundial a lo largo de los años.</w:t>
            </w:r>
          </w:p>
        </w:tc>
      </w:tr>
      <w:tr w:rsidR="00496AC9" w:rsidRPr="006548ED" w14:paraId="2AFB514C" w14:textId="77777777" w:rsidTr="00496AC9">
        <w:trPr>
          <w:trHeight w:val="320"/>
        </w:trPr>
        <w:tc>
          <w:tcPr>
            <w:tcW w:w="4855" w:type="dxa"/>
            <w:shd w:val="clear" w:color="auto" w:fill="auto"/>
            <w:vAlign w:val="center"/>
            <w:hideMark/>
          </w:tcPr>
          <w:p w14:paraId="2F37AB54"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Low-Income economies</w:t>
            </w:r>
          </w:p>
        </w:tc>
        <w:tc>
          <w:tcPr>
            <w:tcW w:w="4410" w:type="dxa"/>
            <w:shd w:val="clear" w:color="auto" w:fill="auto"/>
            <w:vAlign w:val="center"/>
            <w:hideMark/>
          </w:tcPr>
          <w:p w14:paraId="05B492C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Économies</w:t>
            </w:r>
            <w:proofErr w:type="spellEnd"/>
            <w:r w:rsidRPr="00496AC9">
              <w:rPr>
                <w:rFonts w:ascii="Calibri" w:eastAsia="Times New Roman" w:hAnsi="Calibri" w:cs="Calibri"/>
                <w:color w:val="000000"/>
                <w:sz w:val="20"/>
                <w:szCs w:val="20"/>
              </w:rPr>
              <w:t xml:space="preserve"> à </w:t>
            </w:r>
            <w:proofErr w:type="spellStart"/>
            <w:r w:rsidRPr="00496AC9">
              <w:rPr>
                <w:rFonts w:ascii="Calibri" w:eastAsia="Times New Roman" w:hAnsi="Calibri" w:cs="Calibri"/>
                <w:color w:val="000000"/>
                <w:sz w:val="20"/>
                <w:szCs w:val="20"/>
              </w:rPr>
              <w:t>faible</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revenu</w:t>
            </w:r>
            <w:proofErr w:type="spellEnd"/>
          </w:p>
        </w:tc>
        <w:tc>
          <w:tcPr>
            <w:tcW w:w="5310" w:type="dxa"/>
            <w:shd w:val="clear" w:color="auto" w:fill="auto"/>
            <w:vAlign w:val="center"/>
            <w:hideMark/>
          </w:tcPr>
          <w:p w14:paraId="7B70A1C7"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Economías</w:t>
            </w:r>
            <w:proofErr w:type="spellEnd"/>
            <w:r w:rsidRPr="00496AC9">
              <w:rPr>
                <w:rFonts w:ascii="Calibri" w:eastAsia="Times New Roman" w:hAnsi="Calibri" w:cs="Calibri"/>
                <w:color w:val="000000"/>
                <w:sz w:val="20"/>
                <w:szCs w:val="20"/>
              </w:rPr>
              <w:t xml:space="preserve"> de </w:t>
            </w:r>
            <w:proofErr w:type="spellStart"/>
            <w:r w:rsidRPr="00496AC9">
              <w:rPr>
                <w:rFonts w:ascii="Calibri" w:eastAsia="Times New Roman" w:hAnsi="Calibri" w:cs="Calibri"/>
                <w:color w:val="000000"/>
                <w:sz w:val="20"/>
                <w:szCs w:val="20"/>
              </w:rPr>
              <w:t>bajos</w:t>
            </w:r>
            <w:proofErr w:type="spellEnd"/>
            <w:r w:rsidRPr="00496AC9">
              <w:rPr>
                <w:rFonts w:ascii="Calibri" w:eastAsia="Times New Roman" w:hAnsi="Calibri" w:cs="Calibri"/>
                <w:color w:val="000000"/>
                <w:sz w:val="20"/>
                <w:szCs w:val="20"/>
              </w:rPr>
              <w:t xml:space="preserve"> </w:t>
            </w:r>
            <w:proofErr w:type="spellStart"/>
            <w:r w:rsidRPr="00496AC9">
              <w:rPr>
                <w:rFonts w:ascii="Calibri" w:eastAsia="Times New Roman" w:hAnsi="Calibri" w:cs="Calibri"/>
                <w:color w:val="000000"/>
                <w:sz w:val="20"/>
                <w:szCs w:val="20"/>
              </w:rPr>
              <w:t>ingresos</w:t>
            </w:r>
            <w:proofErr w:type="spellEnd"/>
          </w:p>
        </w:tc>
      </w:tr>
      <w:tr w:rsidR="00496AC9" w:rsidRPr="00BD0799" w14:paraId="27B49EE6" w14:textId="77777777" w:rsidTr="00496AC9">
        <w:trPr>
          <w:trHeight w:val="320"/>
        </w:trPr>
        <w:tc>
          <w:tcPr>
            <w:tcW w:w="4855" w:type="dxa"/>
            <w:shd w:val="clear" w:color="auto" w:fill="auto"/>
            <w:vAlign w:val="center"/>
            <w:hideMark/>
          </w:tcPr>
          <w:p w14:paraId="62484242"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Overall, every World Bank Income group has seen some decline in burden rates between 2000 and 2015. However, the Low-Income economies group had the highest burden rates and the greatest decline in burden rates between 2000 and 2015. In contrary, burden rates have changed little in the High-Income economies group between 2000 and 2015. A stratification by types of cause shows that Communicable, maternal, perinatal and nutritional conditions (Group I) are more predominant in the Low-Income economies group, which include mostly developing nations. In contrary, Noncommunicable diseases (Group II) are more predominant in the Upper-Middle-Income economies and High-Income economies groups, which include the majority of developed nations. However, both Group I and Group II are equally predominant in the Lower-Middle-Income economies group.</w:t>
            </w:r>
          </w:p>
        </w:tc>
        <w:tc>
          <w:tcPr>
            <w:tcW w:w="4410" w:type="dxa"/>
            <w:shd w:val="clear" w:color="auto" w:fill="auto"/>
            <w:vAlign w:val="center"/>
            <w:hideMark/>
          </w:tcPr>
          <w:p w14:paraId="0922DA23"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Dans l’ensemble, tous les groupes de revenu de la Banque Mondiale ont enregistré une baisse des taux de fardeau entre 2000 et 2015. Toutefois, les économies à faible revenu avaient les taux de fardeau les plus élevés et ont connu la plus forte baisse entre 2000 et 2015. Au contraire, les taux de fardeau ont peu changé dans le groupe des économies à revenu élevé entre 2000 et 2015. Une stratification par type de cause montre que les maladies transmissibles, maternelles, périnatales et nutritionnelles (Groupe I) sont plus prédominantes dans le groupe des économies à faible revenu, qui comprend principalement des pays en voie de développement. Cependant, les maladies non transmissibles (Groupe II) sont plus prédominantes dans les groupes des économies à revenu intermédiaire de la tranche supérieure et des économies à revenu élevé, qui comprennent la majorité des pays développés. Toutefois, les causes de Groupe I et Groupe II sont </w:t>
            </w:r>
            <w:proofErr w:type="spellStart"/>
            <w:r w:rsidRPr="00E56DFA">
              <w:rPr>
                <w:rFonts w:ascii="Calibri" w:eastAsia="Times New Roman" w:hAnsi="Calibri" w:cs="Calibri"/>
                <w:color w:val="000000"/>
                <w:sz w:val="20"/>
                <w:szCs w:val="20"/>
                <w:lang w:val="fr-FR"/>
              </w:rPr>
              <w:t>co-dominants</w:t>
            </w:r>
            <w:proofErr w:type="spellEnd"/>
            <w:r w:rsidRPr="00E56DFA">
              <w:rPr>
                <w:rFonts w:ascii="Calibri" w:eastAsia="Times New Roman" w:hAnsi="Calibri" w:cs="Calibri"/>
                <w:color w:val="000000"/>
                <w:sz w:val="20"/>
                <w:szCs w:val="20"/>
                <w:lang w:val="fr-FR"/>
              </w:rPr>
              <w:t xml:space="preserve"> dans le groupe des économies à revenu intermédiaire de la tranche inférieure.</w:t>
            </w:r>
          </w:p>
        </w:tc>
        <w:tc>
          <w:tcPr>
            <w:tcW w:w="5310" w:type="dxa"/>
            <w:shd w:val="clear" w:color="auto" w:fill="auto"/>
            <w:vAlign w:val="center"/>
            <w:hideMark/>
          </w:tcPr>
          <w:p w14:paraId="1917235E" w14:textId="0330F20E"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 xml:space="preserve">En general, todos los grupos de ingresos del Banco Mundial han experimentado una disminución en las tasas de carga entre 2000 y 2015. Sin embargo, el grupo de economías de bajos ingresos tuvo las tasas de carga más altas y la mayor disminución en las tasas de carga entre 2000 y 2015. Por el contrario, las tasas de carga han cambió poco en el grupo de economías de altos ingresos. Una estratificación por tipos de causas </w:t>
            </w:r>
            <w:r w:rsidR="00211B9C" w:rsidRPr="00211B9C">
              <w:rPr>
                <w:rFonts w:ascii="Calibri" w:eastAsia="Times New Roman" w:hAnsi="Calibri" w:cs="Calibri"/>
                <w:b/>
                <w:bCs/>
                <w:color w:val="FF0000"/>
                <w:sz w:val="20"/>
                <w:szCs w:val="20"/>
                <w:lang w:val="es-ES"/>
              </w:rPr>
              <w:t>enseña</w:t>
            </w:r>
            <w:r w:rsidRPr="00211B9C">
              <w:rPr>
                <w:rFonts w:ascii="Calibri" w:eastAsia="Times New Roman" w:hAnsi="Calibri" w:cs="Calibri"/>
                <w:color w:val="FF0000"/>
                <w:sz w:val="20"/>
                <w:szCs w:val="20"/>
                <w:lang w:val="es-ES"/>
              </w:rPr>
              <w:t xml:space="preserve"> </w:t>
            </w:r>
            <w:r w:rsidRPr="00211B9C">
              <w:rPr>
                <w:rFonts w:ascii="Calibri" w:eastAsia="Times New Roman" w:hAnsi="Calibri" w:cs="Calibri"/>
                <w:b/>
                <w:bCs/>
                <w:color w:val="FF0000"/>
                <w:sz w:val="20"/>
                <w:szCs w:val="20"/>
                <w:lang w:val="es-ES"/>
              </w:rPr>
              <w:t xml:space="preserve">que las </w:t>
            </w:r>
            <w:r w:rsidR="00A37987">
              <w:rPr>
                <w:rFonts w:ascii="Calibri" w:eastAsia="Times New Roman" w:hAnsi="Calibri" w:cs="Calibri"/>
                <w:b/>
                <w:bCs/>
                <w:color w:val="FF0000"/>
                <w:sz w:val="20"/>
                <w:szCs w:val="20"/>
                <w:lang w:val="es-ES"/>
              </w:rPr>
              <w:t>enfermedades</w:t>
            </w:r>
            <w:r w:rsidR="00A37987" w:rsidRPr="009A087E">
              <w:rPr>
                <w:rFonts w:ascii="Calibri" w:eastAsia="Times New Roman" w:hAnsi="Calibri" w:cs="Calibri"/>
                <w:b/>
                <w:bCs/>
                <w:color w:val="FF0000"/>
                <w:sz w:val="20"/>
                <w:szCs w:val="20"/>
                <w:lang w:val="es-ES"/>
              </w:rPr>
              <w:t xml:space="preserve"> transmisibles </w:t>
            </w:r>
            <w:r w:rsidRPr="00211B9C">
              <w:rPr>
                <w:rFonts w:ascii="Calibri" w:eastAsia="Times New Roman" w:hAnsi="Calibri" w:cs="Calibri"/>
                <w:b/>
                <w:bCs/>
                <w:color w:val="FF0000"/>
                <w:sz w:val="20"/>
                <w:szCs w:val="20"/>
                <w:lang w:val="es-ES"/>
              </w:rPr>
              <w:t>maternas, perinatales y nutricionales</w:t>
            </w:r>
            <w:r w:rsidR="00211B9C" w:rsidRPr="00211B9C">
              <w:rPr>
                <w:rFonts w:ascii="Calibri" w:eastAsia="Times New Roman" w:hAnsi="Calibri" w:cs="Calibri"/>
                <w:b/>
                <w:bCs/>
                <w:color w:val="FF0000"/>
                <w:sz w:val="20"/>
                <w:szCs w:val="20"/>
                <w:lang w:val="es-ES"/>
              </w:rPr>
              <w:t xml:space="preserve"> </w:t>
            </w:r>
            <w:r w:rsidRPr="00E56DFA">
              <w:rPr>
                <w:rFonts w:ascii="Calibri" w:eastAsia="Times New Roman" w:hAnsi="Calibri" w:cs="Calibri"/>
                <w:color w:val="000000"/>
                <w:sz w:val="20"/>
                <w:szCs w:val="20"/>
                <w:lang w:val="es-ES"/>
              </w:rPr>
              <w:t xml:space="preserve">(Grupo I) son más predominantes en el grupo de economías de bajos ingresos, que incluye principalmente a las naciones en desarrollo. Por el contrario, las enfermedades no transmisibles (Grupo II) son más predominantes en los grupos de economías de ingresos </w:t>
            </w:r>
            <w:r w:rsidRPr="00211B9C">
              <w:rPr>
                <w:rFonts w:ascii="Calibri" w:eastAsia="Times New Roman" w:hAnsi="Calibri" w:cs="Calibri"/>
                <w:b/>
                <w:bCs/>
                <w:color w:val="FF0000"/>
                <w:sz w:val="20"/>
                <w:szCs w:val="20"/>
                <w:lang w:val="es-ES"/>
              </w:rPr>
              <w:t xml:space="preserve">medios </w:t>
            </w:r>
            <w:r w:rsidR="00211B9C" w:rsidRPr="00211B9C">
              <w:rPr>
                <w:rFonts w:ascii="Calibri" w:eastAsia="Times New Roman" w:hAnsi="Calibri" w:cs="Calibri"/>
                <w:b/>
                <w:bCs/>
                <w:color w:val="FF0000"/>
                <w:sz w:val="20"/>
                <w:szCs w:val="20"/>
                <w:lang w:val="es-ES"/>
              </w:rPr>
              <w:t>superior</w:t>
            </w:r>
            <w:r w:rsidRPr="00211B9C">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 xml:space="preserve">y altos, que incluyen a la mayoría de las naciones desarrolladas. Sin embargo, tanto el Grupo I como el Grupo II son </w:t>
            </w:r>
            <w:r w:rsidRPr="00211B9C">
              <w:rPr>
                <w:rFonts w:ascii="Calibri" w:eastAsia="Times New Roman" w:hAnsi="Calibri" w:cs="Calibri"/>
                <w:b/>
                <w:bCs/>
                <w:color w:val="FF0000"/>
                <w:sz w:val="20"/>
                <w:szCs w:val="20"/>
                <w:lang w:val="es-ES"/>
              </w:rPr>
              <w:t>predominantes</w:t>
            </w:r>
            <w:r w:rsidR="00211B9C" w:rsidRPr="00211B9C">
              <w:rPr>
                <w:rFonts w:ascii="Calibri" w:eastAsia="Times New Roman" w:hAnsi="Calibri" w:cs="Calibri"/>
                <w:b/>
                <w:bCs/>
                <w:color w:val="FF0000"/>
                <w:sz w:val="20"/>
                <w:szCs w:val="20"/>
                <w:lang w:val="es-ES"/>
              </w:rPr>
              <w:t xml:space="preserve"> por igual</w:t>
            </w:r>
            <w:r w:rsidRPr="00211B9C">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 xml:space="preserve">en el grupo de economías de ingresos </w:t>
            </w:r>
            <w:r w:rsidRPr="00211B9C">
              <w:rPr>
                <w:rFonts w:ascii="Calibri" w:eastAsia="Times New Roman" w:hAnsi="Calibri" w:cs="Calibri"/>
                <w:b/>
                <w:bCs/>
                <w:color w:val="FF0000"/>
                <w:sz w:val="20"/>
                <w:szCs w:val="20"/>
                <w:lang w:val="es-ES"/>
              </w:rPr>
              <w:t xml:space="preserve">medios </w:t>
            </w:r>
            <w:r w:rsidR="00211B9C" w:rsidRPr="00211B9C">
              <w:rPr>
                <w:rFonts w:ascii="Calibri" w:eastAsia="Times New Roman" w:hAnsi="Calibri" w:cs="Calibri"/>
                <w:b/>
                <w:bCs/>
                <w:color w:val="FF0000"/>
                <w:sz w:val="20"/>
                <w:szCs w:val="20"/>
                <w:lang w:val="es-ES"/>
              </w:rPr>
              <w:t>inferior</w:t>
            </w:r>
            <w:r w:rsidRPr="00E56DFA">
              <w:rPr>
                <w:rFonts w:ascii="Calibri" w:eastAsia="Times New Roman" w:hAnsi="Calibri" w:cs="Calibri"/>
                <w:color w:val="000000"/>
                <w:sz w:val="20"/>
                <w:szCs w:val="20"/>
                <w:lang w:val="es-ES"/>
              </w:rPr>
              <w:t>.</w:t>
            </w:r>
          </w:p>
        </w:tc>
      </w:tr>
      <w:tr w:rsidR="00496AC9" w:rsidRPr="00BD0799" w14:paraId="7C0E1F54" w14:textId="77777777" w:rsidTr="00496AC9">
        <w:trPr>
          <w:trHeight w:val="320"/>
        </w:trPr>
        <w:tc>
          <w:tcPr>
            <w:tcW w:w="4855" w:type="dxa"/>
            <w:shd w:val="clear" w:color="auto" w:fill="auto"/>
            <w:vAlign w:val="center"/>
            <w:hideMark/>
          </w:tcPr>
          <w:p w14:paraId="6402C653"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Overall, every WHO region has seen some decline in burden rates between 2000 and 2015. However, the WHO African Region had the highest burden rates and the greatest decline in burden rates between 2000 and 2015. A stratification by types of cause shows that Communicable, maternal, perinatal and nutritional conditions (Group I) are more predominant in the WHO African Region which include mostly developing nations. In contrary, Noncommunicable diseases (Group II) are more predominant in the Region of the Americas, the European and the Western Pacific Regions, which include the majority of developed nations. However, both Group I and Group II are equally predominant in the Eastern Mediterranean and South-East Asia Regions.</w:t>
            </w:r>
          </w:p>
        </w:tc>
        <w:tc>
          <w:tcPr>
            <w:tcW w:w="4410" w:type="dxa"/>
            <w:shd w:val="clear" w:color="auto" w:fill="auto"/>
            <w:vAlign w:val="center"/>
            <w:hideMark/>
          </w:tcPr>
          <w:p w14:paraId="597F50A4" w14:textId="77777777" w:rsidR="00496AC9" w:rsidRPr="00E56DFA" w:rsidRDefault="00496AC9" w:rsidP="00496AC9">
            <w:pPr>
              <w:spacing w:before="0" w:after="0"/>
              <w:ind w:firstLine="0"/>
              <w:jc w:val="left"/>
              <w:rPr>
                <w:rFonts w:ascii="Calibri" w:eastAsia="Times New Roman" w:hAnsi="Calibri" w:cs="Calibri"/>
                <w:color w:val="000000"/>
                <w:sz w:val="20"/>
                <w:szCs w:val="20"/>
                <w:lang w:val="fr-FR"/>
              </w:rPr>
            </w:pPr>
            <w:r w:rsidRPr="00E56DFA">
              <w:rPr>
                <w:rFonts w:ascii="Calibri" w:eastAsia="Times New Roman" w:hAnsi="Calibri" w:cs="Calibri"/>
                <w:color w:val="000000"/>
                <w:sz w:val="20"/>
                <w:szCs w:val="20"/>
                <w:lang w:val="fr-FR"/>
              </w:rPr>
              <w:t xml:space="preserve">Dans l’ensemble, toutes les régions de l’OMS ont connu une baisse du taux de fardeau entre 2000 et 2015. Cependant, la Région Africaine de l’OMS </w:t>
            </w:r>
            <w:proofErr w:type="gramStart"/>
            <w:r w:rsidRPr="00E56DFA">
              <w:rPr>
                <w:rFonts w:ascii="Calibri" w:eastAsia="Times New Roman" w:hAnsi="Calibri" w:cs="Calibri"/>
                <w:color w:val="000000"/>
                <w:sz w:val="20"/>
                <w:szCs w:val="20"/>
                <w:lang w:val="fr-FR"/>
              </w:rPr>
              <w:t>avaient</w:t>
            </w:r>
            <w:proofErr w:type="gramEnd"/>
            <w:r w:rsidRPr="00E56DFA">
              <w:rPr>
                <w:rFonts w:ascii="Calibri" w:eastAsia="Times New Roman" w:hAnsi="Calibri" w:cs="Calibri"/>
                <w:color w:val="000000"/>
                <w:sz w:val="20"/>
                <w:szCs w:val="20"/>
                <w:lang w:val="fr-FR"/>
              </w:rPr>
              <w:t xml:space="preserve"> les taux de fardeau les plus élevés et a connu la plus forte diminution entre 2000 et 2015. Une stratification par type de cause montre que les conditions transmissibles, maternelles, périnatales et nutritionnelles (Groupe I) sont plus prédominants dans la Région Africaine de l’OMS, qui comprend principalement des pays en voie de développement. Au contraire, les maladies non transmissibles (Groupe II) sont plus prédominantes dans les Régions des Amériques, de l'Europe et du Pacifique Occidental, qui regroupent la majorité des pays développés. Cependant, les causes de Groupe I et Groupe II sont </w:t>
            </w:r>
            <w:proofErr w:type="spellStart"/>
            <w:r w:rsidRPr="00E56DFA">
              <w:rPr>
                <w:rFonts w:ascii="Calibri" w:eastAsia="Times New Roman" w:hAnsi="Calibri" w:cs="Calibri"/>
                <w:color w:val="000000"/>
                <w:sz w:val="20"/>
                <w:szCs w:val="20"/>
                <w:lang w:val="fr-FR"/>
              </w:rPr>
              <w:t>co</w:t>
            </w:r>
            <w:proofErr w:type="spellEnd"/>
            <w:r w:rsidRPr="00E56DFA">
              <w:rPr>
                <w:rFonts w:ascii="Calibri" w:eastAsia="Times New Roman" w:hAnsi="Calibri" w:cs="Calibri"/>
                <w:color w:val="000000"/>
                <w:sz w:val="20"/>
                <w:szCs w:val="20"/>
                <w:lang w:val="fr-FR"/>
              </w:rPr>
              <w:t>-prédominants dans les Régions de la Méditerranée Orientale et de l'Asie du Sud-Est.</w:t>
            </w:r>
          </w:p>
        </w:tc>
        <w:tc>
          <w:tcPr>
            <w:tcW w:w="5310" w:type="dxa"/>
            <w:shd w:val="clear" w:color="auto" w:fill="auto"/>
            <w:vAlign w:val="center"/>
            <w:hideMark/>
          </w:tcPr>
          <w:p w14:paraId="04459267" w14:textId="05CB1F4B" w:rsidR="00496AC9" w:rsidRPr="00E56DFA" w:rsidRDefault="00496AC9" w:rsidP="00496AC9">
            <w:pPr>
              <w:spacing w:before="0" w:after="0"/>
              <w:ind w:firstLine="0"/>
              <w:jc w:val="left"/>
              <w:rPr>
                <w:rFonts w:ascii="Calibri" w:eastAsia="Times New Roman" w:hAnsi="Calibri" w:cs="Calibri"/>
                <w:color w:val="000000"/>
                <w:sz w:val="20"/>
                <w:szCs w:val="20"/>
                <w:lang w:val="es-ES"/>
              </w:rPr>
            </w:pPr>
            <w:r w:rsidRPr="00E56DFA">
              <w:rPr>
                <w:rFonts w:ascii="Calibri" w:eastAsia="Times New Roman" w:hAnsi="Calibri" w:cs="Calibri"/>
                <w:color w:val="000000"/>
                <w:sz w:val="20"/>
                <w:szCs w:val="20"/>
                <w:lang w:val="es-ES"/>
              </w:rPr>
              <w:t xml:space="preserve">En general, todas las regiones de la OMS han experimentado una disminución en las tasas de carga entre 2000 y 2015. Sin embargo, la Región Africana de la OMS tuvo las tasas de carga más altas y la mayor disminución en las tasas de carga entre 2000 y 2015. Una estratificación por tipos de causas </w:t>
            </w:r>
            <w:r w:rsidR="00A37987">
              <w:rPr>
                <w:rFonts w:ascii="Calibri" w:eastAsia="Times New Roman" w:hAnsi="Calibri" w:cs="Calibri"/>
                <w:color w:val="000000"/>
                <w:sz w:val="20"/>
                <w:szCs w:val="20"/>
                <w:lang w:val="es-ES"/>
              </w:rPr>
              <w:t>enseña</w:t>
            </w:r>
            <w:r w:rsidRPr="00E56DFA">
              <w:rPr>
                <w:rFonts w:ascii="Calibri" w:eastAsia="Times New Roman" w:hAnsi="Calibri" w:cs="Calibri"/>
                <w:color w:val="000000"/>
                <w:sz w:val="20"/>
                <w:szCs w:val="20"/>
                <w:lang w:val="es-ES"/>
              </w:rPr>
              <w:t xml:space="preserve"> que </w:t>
            </w:r>
            <w:r w:rsidR="00A37987">
              <w:rPr>
                <w:rFonts w:ascii="Calibri" w:eastAsia="Times New Roman" w:hAnsi="Calibri" w:cs="Calibri"/>
                <w:b/>
                <w:bCs/>
                <w:color w:val="FF0000"/>
                <w:sz w:val="20"/>
                <w:szCs w:val="20"/>
                <w:lang w:val="es-ES"/>
              </w:rPr>
              <w:t>las enfermedades</w:t>
            </w:r>
            <w:r w:rsidR="00A37987" w:rsidRPr="009A087E">
              <w:rPr>
                <w:rFonts w:ascii="Calibri" w:eastAsia="Times New Roman" w:hAnsi="Calibri" w:cs="Calibri"/>
                <w:b/>
                <w:bCs/>
                <w:color w:val="FF0000"/>
                <w:sz w:val="20"/>
                <w:szCs w:val="20"/>
                <w:lang w:val="es-ES"/>
              </w:rPr>
              <w:t xml:space="preserve"> transmisibles</w:t>
            </w:r>
            <w:r w:rsidRPr="00A37987">
              <w:rPr>
                <w:rFonts w:ascii="Calibri" w:eastAsia="Times New Roman" w:hAnsi="Calibri" w:cs="Calibri"/>
                <w:b/>
                <w:bCs/>
                <w:color w:val="FF0000"/>
                <w:sz w:val="20"/>
                <w:szCs w:val="20"/>
                <w:lang w:val="es-ES"/>
              </w:rPr>
              <w:t>, maternas, perinatales y nutricionales</w:t>
            </w:r>
            <w:r w:rsidRPr="00A37987">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 xml:space="preserve">(Grupo I) son más predominantes en la Región de África de la OMS, que incluye principalmente a las naciones en desarrollo. Por el contrario, las enfermedades no transmisibles (Grupo II) son más predominantes en la Región de las Américas, las Regiones de Europa y el Pacífico occidental, que incluyen la mayoría de las naciones desarrolladas. Sin embargo, tanto el Grupo I como el Grupo II son </w:t>
            </w:r>
            <w:r w:rsidRPr="00A37987">
              <w:rPr>
                <w:rFonts w:ascii="Calibri" w:eastAsia="Times New Roman" w:hAnsi="Calibri" w:cs="Calibri"/>
                <w:b/>
                <w:bCs/>
                <w:color w:val="FF0000"/>
                <w:sz w:val="20"/>
                <w:szCs w:val="20"/>
                <w:lang w:val="es-ES"/>
              </w:rPr>
              <w:t xml:space="preserve">predominantes </w:t>
            </w:r>
            <w:r w:rsidR="00A37987" w:rsidRPr="00A37987">
              <w:rPr>
                <w:rFonts w:ascii="Calibri" w:eastAsia="Times New Roman" w:hAnsi="Calibri" w:cs="Calibri"/>
                <w:b/>
                <w:bCs/>
                <w:color w:val="FF0000"/>
                <w:sz w:val="20"/>
                <w:szCs w:val="20"/>
                <w:lang w:val="es-ES"/>
              </w:rPr>
              <w:t>por igual</w:t>
            </w:r>
            <w:r w:rsidR="00A37987" w:rsidRPr="00A37987">
              <w:rPr>
                <w:rFonts w:ascii="Calibri" w:eastAsia="Times New Roman" w:hAnsi="Calibri" w:cs="Calibri"/>
                <w:color w:val="FF0000"/>
                <w:sz w:val="20"/>
                <w:szCs w:val="20"/>
                <w:lang w:val="es-ES"/>
              </w:rPr>
              <w:t xml:space="preserve"> </w:t>
            </w:r>
            <w:r w:rsidRPr="00E56DFA">
              <w:rPr>
                <w:rFonts w:ascii="Calibri" w:eastAsia="Times New Roman" w:hAnsi="Calibri" w:cs="Calibri"/>
                <w:color w:val="000000"/>
                <w:sz w:val="20"/>
                <w:szCs w:val="20"/>
                <w:lang w:val="es-ES"/>
              </w:rPr>
              <w:t>en las regiones del Mediterráneo Oriental y Asia Sudoriental.</w:t>
            </w:r>
          </w:p>
        </w:tc>
      </w:tr>
      <w:tr w:rsidR="00496AC9" w:rsidRPr="006548ED" w14:paraId="1B18B326" w14:textId="77777777" w:rsidTr="00496AC9">
        <w:trPr>
          <w:trHeight w:val="320"/>
        </w:trPr>
        <w:tc>
          <w:tcPr>
            <w:tcW w:w="4855" w:type="dxa"/>
            <w:shd w:val="clear" w:color="auto" w:fill="auto"/>
            <w:vAlign w:val="center"/>
            <w:hideMark/>
          </w:tcPr>
          <w:p w14:paraId="342CFF8A" w14:textId="77777777" w:rsidR="00496AC9" w:rsidRPr="00496AC9" w:rsidRDefault="00496AC9" w:rsidP="00496AC9">
            <w:pPr>
              <w:spacing w:before="0" w:after="0"/>
              <w:ind w:firstLine="0"/>
              <w:jc w:val="left"/>
              <w:rPr>
                <w:rFonts w:ascii="Calibri" w:eastAsia="Times New Roman" w:hAnsi="Calibri" w:cs="Calibri"/>
                <w:color w:val="000000"/>
                <w:sz w:val="20"/>
                <w:szCs w:val="20"/>
              </w:rPr>
            </w:pPr>
            <w:r w:rsidRPr="00496AC9">
              <w:rPr>
                <w:rFonts w:ascii="Calibri" w:eastAsia="Times New Roman" w:hAnsi="Calibri" w:cs="Calibri"/>
                <w:color w:val="000000"/>
                <w:sz w:val="20"/>
                <w:szCs w:val="20"/>
              </w:rPr>
              <w:t>Income</w:t>
            </w:r>
          </w:p>
        </w:tc>
        <w:tc>
          <w:tcPr>
            <w:tcW w:w="4410" w:type="dxa"/>
            <w:shd w:val="clear" w:color="auto" w:fill="auto"/>
            <w:vAlign w:val="center"/>
            <w:hideMark/>
          </w:tcPr>
          <w:p w14:paraId="3D542F3E"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Revenu</w:t>
            </w:r>
            <w:proofErr w:type="spellEnd"/>
          </w:p>
        </w:tc>
        <w:tc>
          <w:tcPr>
            <w:tcW w:w="5310" w:type="dxa"/>
            <w:shd w:val="clear" w:color="auto" w:fill="auto"/>
            <w:vAlign w:val="center"/>
            <w:hideMark/>
          </w:tcPr>
          <w:p w14:paraId="61A53CC1" w14:textId="77777777" w:rsidR="00496AC9" w:rsidRPr="00496AC9" w:rsidRDefault="00496AC9" w:rsidP="00496AC9">
            <w:pPr>
              <w:spacing w:before="0" w:after="0"/>
              <w:ind w:firstLine="0"/>
              <w:jc w:val="left"/>
              <w:rPr>
                <w:rFonts w:ascii="Calibri" w:eastAsia="Times New Roman" w:hAnsi="Calibri" w:cs="Calibri"/>
                <w:color w:val="000000"/>
                <w:sz w:val="20"/>
                <w:szCs w:val="20"/>
              </w:rPr>
            </w:pPr>
            <w:proofErr w:type="spellStart"/>
            <w:r w:rsidRPr="00496AC9">
              <w:rPr>
                <w:rFonts w:ascii="Calibri" w:eastAsia="Times New Roman" w:hAnsi="Calibri" w:cs="Calibri"/>
                <w:color w:val="000000"/>
                <w:sz w:val="20"/>
                <w:szCs w:val="20"/>
              </w:rPr>
              <w:t>Ingresos</w:t>
            </w:r>
            <w:proofErr w:type="spellEnd"/>
          </w:p>
        </w:tc>
      </w:tr>
    </w:tbl>
    <w:p w14:paraId="4A672E15" w14:textId="77777777" w:rsidR="00496AC9" w:rsidRPr="00496AC9" w:rsidRDefault="00496AC9" w:rsidP="00496AC9"/>
    <w:sectPr w:rsidR="00496AC9" w:rsidRPr="00496AC9" w:rsidSect="00496AC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7DA0A" w14:textId="77777777" w:rsidR="00205C03" w:rsidRDefault="00205C03" w:rsidP="00496AC9">
      <w:pPr>
        <w:spacing w:before="0" w:after="0"/>
      </w:pPr>
      <w:r>
        <w:separator/>
      </w:r>
    </w:p>
  </w:endnote>
  <w:endnote w:type="continuationSeparator" w:id="0">
    <w:p w14:paraId="7AA106BF" w14:textId="77777777" w:rsidR="00205C03" w:rsidRDefault="00205C03" w:rsidP="00496A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Headings)">
    <w:altName w:val="Calibri Light"/>
    <w:charset w:val="00"/>
    <w:family w:val="roman"/>
    <w:pitch w:val="default"/>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AC915" w14:textId="77777777" w:rsidR="00205C03" w:rsidRDefault="00205C03" w:rsidP="00496AC9">
      <w:pPr>
        <w:spacing w:before="0" w:after="0"/>
      </w:pPr>
      <w:r>
        <w:separator/>
      </w:r>
    </w:p>
  </w:footnote>
  <w:footnote w:type="continuationSeparator" w:id="0">
    <w:p w14:paraId="47B5264F" w14:textId="77777777" w:rsidR="00205C03" w:rsidRDefault="00205C03" w:rsidP="00496AC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10CB2"/>
    <w:multiLevelType w:val="hybridMultilevel"/>
    <w:tmpl w:val="6ACEDD78"/>
    <w:lvl w:ilvl="0" w:tplc="A23EB022">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C9"/>
    <w:rsid w:val="00082D93"/>
    <w:rsid w:val="00205C03"/>
    <w:rsid w:val="00211B9C"/>
    <w:rsid w:val="002C4449"/>
    <w:rsid w:val="003B4611"/>
    <w:rsid w:val="004643A5"/>
    <w:rsid w:val="00496AC9"/>
    <w:rsid w:val="004D777B"/>
    <w:rsid w:val="00523433"/>
    <w:rsid w:val="005E34CA"/>
    <w:rsid w:val="006548ED"/>
    <w:rsid w:val="008057FE"/>
    <w:rsid w:val="00867B7C"/>
    <w:rsid w:val="009053E6"/>
    <w:rsid w:val="0098691E"/>
    <w:rsid w:val="009976C3"/>
    <w:rsid w:val="009A087E"/>
    <w:rsid w:val="00A22386"/>
    <w:rsid w:val="00A37987"/>
    <w:rsid w:val="00BD0799"/>
    <w:rsid w:val="00C9272F"/>
    <w:rsid w:val="00D50022"/>
    <w:rsid w:val="00D82627"/>
    <w:rsid w:val="00E45143"/>
    <w:rsid w:val="00E56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F0E5"/>
  <w15:chartTrackingRefBased/>
  <w15:docId w15:val="{118D368D-5F25-544E-B72F-1D3BE263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20"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qFormat/>
    <w:rsid w:val="008057FE"/>
    <w:pPr>
      <w:spacing w:before="360" w:after="0"/>
      <w:ind w:firstLine="0"/>
      <w:jc w:val="left"/>
    </w:pPr>
    <w:rPr>
      <w:rFonts w:ascii="Times New Roman" w:eastAsia="Times New Roman" w:hAnsi="Times New Roman" w:cs="Calibri Light (Headings)"/>
      <w:bCs/>
    </w:rPr>
  </w:style>
  <w:style w:type="paragraph" w:styleId="TM2">
    <w:name w:val="toc 2"/>
    <w:basedOn w:val="Normal"/>
    <w:next w:val="Normal"/>
    <w:autoRedefine/>
    <w:uiPriority w:val="39"/>
    <w:unhideWhenUsed/>
    <w:qFormat/>
    <w:rsid w:val="008057FE"/>
    <w:pPr>
      <w:tabs>
        <w:tab w:val="left" w:pos="720"/>
      </w:tabs>
      <w:spacing w:before="240" w:after="0"/>
      <w:ind w:firstLine="0"/>
      <w:jc w:val="left"/>
    </w:pPr>
    <w:rPr>
      <w:rFonts w:ascii="Times New Roman" w:eastAsia="Times New Roman" w:hAnsi="Times New Roman" w:cs="Calibri (Body)"/>
      <w:bCs/>
      <w:szCs w:val="20"/>
    </w:rPr>
  </w:style>
  <w:style w:type="paragraph" w:styleId="TM3">
    <w:name w:val="toc 3"/>
    <w:basedOn w:val="Normal"/>
    <w:next w:val="Normal"/>
    <w:autoRedefine/>
    <w:uiPriority w:val="39"/>
    <w:unhideWhenUsed/>
    <w:qFormat/>
    <w:rsid w:val="008057FE"/>
    <w:pPr>
      <w:spacing w:before="0" w:after="0" w:line="480" w:lineRule="auto"/>
      <w:ind w:firstLine="0"/>
      <w:jc w:val="left"/>
    </w:pPr>
    <w:rPr>
      <w:rFonts w:ascii="Times New Roman" w:eastAsia="Times New Roman" w:hAnsi="Times New Roman" w:cstheme="minorHAnsi"/>
      <w:iCs/>
      <w:szCs w:val="20"/>
    </w:rPr>
  </w:style>
  <w:style w:type="paragraph" w:styleId="TM4">
    <w:name w:val="toc 4"/>
    <w:basedOn w:val="Normal"/>
    <w:next w:val="Normal"/>
    <w:autoRedefine/>
    <w:uiPriority w:val="39"/>
    <w:unhideWhenUsed/>
    <w:qFormat/>
    <w:rsid w:val="00C9272F"/>
    <w:pPr>
      <w:spacing w:before="0" w:after="0"/>
      <w:ind w:left="-288" w:firstLine="0"/>
      <w:contextualSpacing/>
      <w:jc w:val="left"/>
    </w:pPr>
    <w:rPr>
      <w:rFonts w:ascii="Arial" w:eastAsia="Times New Roman" w:hAnsi="Arial" w:cstheme="minorHAnsi"/>
      <w:sz w:val="22"/>
      <w:szCs w:val="20"/>
    </w:rPr>
  </w:style>
  <w:style w:type="paragraph" w:styleId="En-tte">
    <w:name w:val="header"/>
    <w:basedOn w:val="Normal"/>
    <w:link w:val="En-tteCar"/>
    <w:uiPriority w:val="99"/>
    <w:unhideWhenUsed/>
    <w:rsid w:val="00496AC9"/>
    <w:pPr>
      <w:tabs>
        <w:tab w:val="center" w:pos="4680"/>
        <w:tab w:val="right" w:pos="9360"/>
      </w:tabs>
      <w:spacing w:before="0" w:after="0"/>
    </w:pPr>
  </w:style>
  <w:style w:type="character" w:customStyle="1" w:styleId="En-tteCar">
    <w:name w:val="En-tête Car"/>
    <w:basedOn w:val="Policepardfaut"/>
    <w:link w:val="En-tte"/>
    <w:uiPriority w:val="99"/>
    <w:rsid w:val="00496AC9"/>
  </w:style>
  <w:style w:type="paragraph" w:styleId="Pieddepage">
    <w:name w:val="footer"/>
    <w:basedOn w:val="Normal"/>
    <w:link w:val="PieddepageCar"/>
    <w:uiPriority w:val="99"/>
    <w:unhideWhenUsed/>
    <w:rsid w:val="00496AC9"/>
    <w:pPr>
      <w:tabs>
        <w:tab w:val="center" w:pos="4680"/>
        <w:tab w:val="right" w:pos="9360"/>
      </w:tabs>
      <w:spacing w:before="0" w:after="0"/>
    </w:pPr>
  </w:style>
  <w:style w:type="character" w:customStyle="1" w:styleId="PieddepageCar">
    <w:name w:val="Pied de page Car"/>
    <w:basedOn w:val="Policepardfaut"/>
    <w:link w:val="Pieddepage"/>
    <w:uiPriority w:val="99"/>
    <w:rsid w:val="00496AC9"/>
  </w:style>
  <w:style w:type="character" w:styleId="Lienhypertexte">
    <w:name w:val="Hyperlink"/>
    <w:basedOn w:val="Policepardfaut"/>
    <w:uiPriority w:val="99"/>
    <w:semiHidden/>
    <w:unhideWhenUsed/>
    <w:rsid w:val="00496AC9"/>
    <w:rPr>
      <w:color w:val="0563C1"/>
      <w:u w:val="single"/>
    </w:rPr>
  </w:style>
  <w:style w:type="character" w:styleId="Lienhypertextesuivivisit">
    <w:name w:val="FollowedHyperlink"/>
    <w:basedOn w:val="Policepardfaut"/>
    <w:uiPriority w:val="99"/>
    <w:semiHidden/>
    <w:unhideWhenUsed/>
    <w:rsid w:val="00496AC9"/>
    <w:rPr>
      <w:color w:val="954F72"/>
      <w:u w:val="single"/>
    </w:rPr>
  </w:style>
  <w:style w:type="paragraph" w:customStyle="1" w:styleId="msonormal0">
    <w:name w:val="msonormal"/>
    <w:basedOn w:val="Normal"/>
    <w:rsid w:val="00496AC9"/>
    <w:pPr>
      <w:spacing w:before="100" w:beforeAutospacing="1" w:after="100" w:afterAutospacing="1"/>
      <w:ind w:firstLine="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4157</TotalTime>
  <Pages>1</Pages>
  <Words>3312</Words>
  <Characters>18884</Characters>
  <Application>Microsoft Office Word</Application>
  <DocSecurity>0</DocSecurity>
  <Lines>157</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Dide-Agossou, Christian</dc:creator>
  <cp:keywords/>
  <dc:description/>
  <cp:lastModifiedBy>Charles DIDE AGOSSOU</cp:lastModifiedBy>
  <cp:revision>10</cp:revision>
  <dcterms:created xsi:type="dcterms:W3CDTF">2019-11-03T17:44:00Z</dcterms:created>
  <dcterms:modified xsi:type="dcterms:W3CDTF">2019-11-25T16:54:00Z</dcterms:modified>
</cp:coreProperties>
</file>