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63.png" ContentType="image/png"/>
  <Override PartName="/word/media/rId37.png" ContentType="image/png"/>
  <Override PartName="/word/media/rId42.png" ContentType="image/png"/>
  <Override PartName="/word/media/rId53.png" ContentType="image/png"/>
  <Override PartName="/word/media/rId48.png" ContentType="image/png"/>
  <Override PartName="/word/media/rId74.png" ContentType="image/png"/>
  <Override PartName="/word/media/rId69.png" ContentType="image/png"/>
  <Override PartName="/word/media/rId79.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2026-01-19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tatistical-analyses"/>
    <w:p>
      <w:pPr>
        <w:pStyle w:val="Heading1"/>
      </w:pPr>
      <w:r>
        <w:t xml:space="preserve">1. Statistical analyses</w:t>
      </w:r>
    </w:p>
    <w:bookmarkStart w:id="21" w:name="X508921ab544f8df5320df222d4d0b65ac7e9cfd"/>
    <w:p>
      <w:pPr>
        <w:pStyle w:val="Heading2"/>
      </w:pPr>
      <w:r>
        <w:t xml:space="preserve">1.1 General statistical and programatic approach</w:t>
      </w:r>
    </w:p>
    <w:p>
      <w:pPr>
        <w:pStyle w:val="FirstParagraph"/>
      </w:pPr>
      <w:r>
        <w:t xml:space="preserve">All statistics were conducted in R version 4.5.2 (2025-10-31)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20">
        <w:r>
          <w:rPr>
            <w:rStyle w:val="Hyperlink"/>
          </w:rPr>
          <w:t xml:space="preserve">github.com/ddlawton/OSE-Range-Analysis</w:t>
        </w:r>
      </w:hyperlink>
      <w:r>
        <w:t xml:space="preserve">. Upon publication a github archive snapshot will be created and stored in Zenodo for reproducibility with a DOI and citation.</w:t>
      </w:r>
    </w:p>
    <w:bookmarkEnd w:id="21"/>
    <w:bookmarkStart w:id="22"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22"/>
    <w:bookmarkStart w:id="23"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(scaled to proportion). In both cases, we included fertilizer treatment, region, and their interaction as fixed effects, and farmer as a random effect to account for repeated measures since each farmer has a control and fertilized field.</w:t>
      </w:r>
    </w:p>
    <w:bookmarkEnd w:id="23"/>
    <w:bookmarkStart w:id="24"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24"/>
    <w:bookmarkStart w:id="25"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25"/>
    <w:bookmarkEnd w:id="26"/>
    <w:bookmarkStart w:id="68" w:name="results"/>
    <w:p>
      <w:pPr>
        <w:pStyle w:val="Heading1"/>
      </w:pPr>
      <w:r>
        <w:t xml:space="preserve">2. Results</w:t>
      </w:r>
    </w:p>
    <w:bookmarkStart w:id="27"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0.21). The full temperature statistical model is in</w:t>
      </w:r>
      <w:r>
        <w:t xml:space="preserve"> </w:t>
      </w:r>
      <w:hyperlink w:anchor="tbl-temperature-model">
        <w:r>
          <w:rPr>
            <w:rStyle w:val="Hyperlink"/>
          </w:rPr>
          <w:t xml:space="preserve">Table 8</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27"/>
    <w:bookmarkStart w:id="28"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704"/>
        <w:gridCol w:w="1936"/>
        <w:gridCol w:w="1760"/>
        <w:gridCol w:w="1760"/>
        <w:gridCol w:w="1760"/>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28"/>
    <w:bookmarkStart w:id="36" w:name="crop-impact"/>
    <w:p>
      <w:pPr>
        <w:pStyle w:val="Heading2"/>
      </w:pPr>
      <w:r>
        <w:t xml:space="preserve">2.3 Crop impact</w:t>
      </w:r>
    </w:p>
    <w:bookmarkStart w:id="29"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0.097) to highly significant by late season (Mission 3: estimate = -1.371, p &lt; 0.001;</w:t>
      </w:r>
      <w:r>
        <w:t xml:space="preserve"> </w:t>
      </w:r>
      <w:hyperlink w:anchor="tbl-ose-density-models">
        <w:r>
          <w:rPr>
            <w:rStyle w:val="Hyperlink"/>
          </w:rPr>
          <w:t xml:space="preserve">Table 1</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3.8-times higher in Thiès. Across all missions, the suppressive effect of fertilization in Kaffrine ranged from 1.1–3.4-fold (</w:t>
      </w:r>
      <w:hyperlink w:anchor="tbl-ose-density-pairwise">
        <w:r>
          <w:rPr>
            <w:rStyle w:val="Hyperlink"/>
          </w:rPr>
          <w:t xml:space="preserve">Table 2</w:t>
        </w:r>
      </w:hyperlink>
      <w:r>
        <w:t xml:space="preserve">).</w:t>
      </w:r>
    </w:p>
    <w:bookmarkEnd w:id="29"/>
    <w:bookmarkStart w:id="30"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-2.384, p &lt; 0.001;</w:t>
      </w:r>
      <w:r>
        <w:t xml:space="preserve"> </w:t>
      </w:r>
      <w:hyperlink w:anchor="tbl-ose-damage-models">
        <w:r>
          <w:rPr>
            <w:rStyle w:val="Hyperlink"/>
          </w:rPr>
          <w:t xml:space="preserve">Table 3</w:t>
        </w:r>
      </w:hyperlink>
      <w:r>
        <w:t xml:space="preserve">). Control fields had 3–11 times higher damage than fertilized fields by the last mission, with effects particularly pronounced in Fatick and Kaffrine (</w:t>
      </w:r>
      <w:hyperlink w:anchor="tbl-ose-damage-pairwise">
        <w:r>
          <w:rPr>
            <w:rStyle w:val="Hyperlink"/>
          </w:rPr>
          <w:t xml:space="preserve">Table 4</w:t>
        </w:r>
      </w:hyperlink>
      <w:r>
        <w:t xml:space="preserve">).</w:t>
      </w:r>
    </w:p>
    <w:bookmarkEnd w:id="30"/>
    <w:bookmarkStart w:id="35" w:name="millet-yield"/>
    <w:p>
      <w:pPr>
        <w:pStyle w:val="Heading3"/>
      </w:pPr>
      <w:r>
        <w:t xml:space="preserve">2.3.3 Millet yield</w:t>
      </w:r>
    </w:p>
    <w:p>
      <w:pPr>
        <w:pStyle w:val="FirstParagraph"/>
      </w:pPr>
      <w:r>
        <w:t xml:space="preserve">Fertilizer treatment significantly increased millet yield across all harvested regions (estimate = 0.582, p &lt; 0.001), with the strongest effect in Thiès (p &lt; 0.001;</w:t>
      </w:r>
      <w:r>
        <w:t xml:space="preserve"> </w:t>
      </w:r>
      <w:hyperlink w:anchor="tbl-yield-model">
        <w:r>
          <w:rPr>
            <w:rStyle w:val="Hyperlink"/>
          </w:rPr>
          <w:t xml:space="preserve">Table 5</w:t>
        </w:r>
      </w:hyperlink>
      <w:r>
        <w:t xml:space="preserve">,</w:t>
      </w:r>
      <w:r>
        <w:t xml:space="preserve"> </w:t>
      </w:r>
      <w:hyperlink w:anchor="tbl-yield-pairwise">
        <w:r>
          <w:rPr>
            <w:rStyle w:val="Hyperlink"/>
          </w:rPr>
          <w:t xml:space="preserve">Table 6</w:t>
        </w:r>
      </w:hyperlink>
      <w:r>
        <w:t xml:space="preserve">). Control fields had 56%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34" w:name="fig-locust-damage-example"/>
          <w:p>
            <w:pPr>
              <w:pStyle w:val="Compact"/>
              <w:jc w:val="center"/>
            </w:pPr>
            <w:r>
              <w:drawing>
                <wp:inline>
                  <wp:extent cx="2122942" cy="1023104"/>
                  <wp:effectExtent b="0" l="0" r="0" t="0"/>
                  <wp:docPr descr="Grasshopper damage of millet leaves and ears" title="" id="32" name="Picture"/>
                  <a:graphic>
                    <a:graphicData uri="http://schemas.openxmlformats.org/drawingml/2006/picture">
                      <pic:pic>
                        <pic:nvPicPr>
                          <pic:cNvPr descr="../../data/pictures/ose_damage_on_leaves.png" id="33" name="Picture"/>
                          <pic:cNvPicPr>
                            <a:picLocks noChangeArrowheads="1" noChangeAspect="1"/>
                          </pic:cNvPicPr>
                        </pic:nvPicPr>
                        <pic:blipFill>
                          <a:blip r:embed="rId31"/>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34"/>
        </w:tc>
      </w:tr>
    </w:tbl>
    <w:bookmarkEnd w:id="35"/>
    <w:bookmarkEnd w:id="36"/>
    <w:bookmarkStart w:id="47" w:name="study-region-maps"/>
    <w:p>
      <w:pPr>
        <w:pStyle w:val="Heading2"/>
      </w:pPr>
      <w:r>
        <w:t xml:space="preserve">2.4 Study region maps</w:t>
      </w:r>
    </w:p>
    <w:bookmarkStart w:id="41"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40" w:name="fig-map-senegal"/>
          <w:p>
            <w:pPr>
              <w:pStyle w:val="Compact"/>
              <w:jc w:val="center"/>
            </w:pPr>
            <w:r>
              <w:drawing>
                <wp:inline>
                  <wp:extent cx="5334000" cy="4000500"/>
                  <wp:effectExtent b="0" l="0" r="0" t="0"/>
                  <wp:docPr descr="" title="" id="38" name="Picture"/>
                  <a:graphic>
                    <a:graphicData uri="http://schemas.openxmlformats.org/drawingml/2006/picture">
                      <pic:pic>
                        <pic:nvPicPr>
                          <pic:cNvPr descr="manuscript_methods_results_files/figure-docx/fig-map-senegal-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40"/>
        </w:tc>
      </w:tr>
    </w:tbl>
    <w:bookmarkEnd w:id="41"/>
    <w:bookmarkStart w:id="46" w:name="monthly-rainfall-patterns-2021"/>
    <w:p>
      <w:pPr>
        <w:pStyle w:val="Heading3"/>
      </w:pPr>
      <w:r>
        <w:t xml:space="preserve">2.4.2 Monthly Rainfall Patterns (2021)</w:t>
      </w:r>
    </w:p>
    <w:tbl>
      <w:tblPr>
        <w:tblStyle w:val="Table"/>
        <w:tblW w:type="pct" w:w="5000"/>
        <w:tblLayout w:type="fixed"/>
        <w:tblLook w:firstRow="0" w:lastRow="0" w:firstColumn="0" w:lastColumn="0" w:noHBand="0" w:noVBand="0" w:val="0000"/>
      </w:tblPr>
      <w:tblGrid>
        <w:gridCol w:w="7920"/>
      </w:tblGrid>
      <w:tr>
        <w:tc>
          <w:tcPr/>
          <w:bookmarkStart w:id="45" w:name="fig-monthly-rainfall"/>
          <w:p>
            <w:pPr>
              <w:pStyle w:val="Compact"/>
              <w:jc w:val="center"/>
            </w:pPr>
            <w:r>
              <w:drawing>
                <wp:inline>
                  <wp:extent cx="5334000" cy="4445000"/>
                  <wp:effectExtent b="0" l="0" r="0" t="0"/>
                  <wp:docPr descr="" title="" id="43" name="Picture"/>
                  <a:graphic>
                    <a:graphicData uri="http://schemas.openxmlformats.org/drawingml/2006/picture">
                      <pic:pic>
                        <pic:nvPicPr>
                          <pic:cNvPr descr="manuscript_methods_results_files/figure-docx/fig-monthly-rainfall-1.png" id="44" name="Picture"/>
                          <pic:cNvPicPr>
                            <a:picLocks noChangeArrowheads="1" noChangeAspect="1"/>
                          </pic:cNvPicPr>
                        </pic:nvPicPr>
                        <pic:blipFill>
                          <a:blip r:embed="rId42"/>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45"/>
        </w:tc>
      </w:tr>
    </w:tbl>
    <w:bookmarkEnd w:id="46"/>
    <w:bookmarkEnd w:id="47"/>
    <w:bookmarkStart w:id="52"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51" w:name="fig-ose-density"/>
          <w:p>
            <w:pPr>
              <w:pStyle w:val="Compact"/>
              <w:jc w:val="center"/>
            </w:pPr>
            <w:r>
              <w:drawing>
                <wp:inline>
                  <wp:extent cx="4572000" cy="9144000"/>
                  <wp:effectExtent b="0" l="0" r="0" t="0"/>
                  <wp:docPr descr="" title="" id="49" name="Picture"/>
                  <a:graphic>
                    <a:graphicData uri="http://schemas.openxmlformats.org/drawingml/2006/picture">
                      <pic:pic>
                        <pic:nvPicPr>
                          <pic:cNvPr descr="manuscript_methods_results_files/figure-docx/fig-ose-density-1.png" id="50" name="Picture"/>
                          <pic:cNvPicPr>
                            <a:picLocks noChangeArrowheads="1" noChangeAspect="1"/>
                          </pic:cNvPicPr>
                        </pic:nvPicPr>
                        <pic:blipFill>
                          <a:blip r:embed="rId48"/>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51"/>
        </w:tc>
      </w:tr>
    </w:tbl>
    <w:bookmarkEnd w:id="52"/>
    <w:bookmarkStart w:id="57"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56" w:name="fig-ose-damage"/>
          <w:p>
            <w:pPr>
              <w:pStyle w:val="Compact"/>
              <w:jc w:val="center"/>
            </w:pPr>
            <w:r>
              <w:drawing>
                <wp:inline>
                  <wp:extent cx="4572000" cy="9144000"/>
                  <wp:effectExtent b="0" l="0" r="0" t="0"/>
                  <wp:docPr descr="" title="" id="54" name="Picture"/>
                  <a:graphic>
                    <a:graphicData uri="http://schemas.openxmlformats.org/drawingml/2006/picture">
                      <pic:pic>
                        <pic:nvPicPr>
                          <pic:cNvPr descr="manuscript_methods_results_files/figure-docx/fig-ose-damage-1.png" id="55" name="Picture"/>
                          <pic:cNvPicPr>
                            <a:picLocks noChangeArrowheads="1" noChangeAspect="1"/>
                          </pic:cNvPicPr>
                        </pic:nvPicPr>
                        <pic:blipFill>
                          <a:blip r:embed="rId53"/>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damage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56"/>
        </w:tc>
      </w:tr>
    </w:tbl>
    <w:bookmarkEnd w:id="57"/>
    <w:bookmarkStart w:id="62"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61" w:name="fig-yield-raw"/>
          <w:p>
            <w:pPr>
              <w:pStyle w:val="Compact"/>
              <w:jc w:val="center"/>
            </w:pPr>
            <w:r>
              <w:drawing>
                <wp:inline>
                  <wp:extent cx="5334000" cy="5334000"/>
                  <wp:effectExtent b="0" l="0" r="0" t="0"/>
                  <wp:docPr descr="" title="" id="59" name="Picture"/>
                  <a:graphic>
                    <a:graphicData uri="http://schemas.openxmlformats.org/drawingml/2006/picture">
                      <pic:pic>
                        <pic:nvPicPr>
                          <pic:cNvPr descr="manuscript_methods_results_files/figure-docx/fig-yield-raw-1.pn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61"/>
        </w:tc>
      </w:tr>
    </w:tbl>
    <w:bookmarkEnd w:id="62"/>
    <w:bookmarkStart w:id="67"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60%;</w:t>
      </w:r>
      <w:r>
        <w:t xml:space="preserve"> </w:t>
      </w:r>
      <w:hyperlink w:anchor="tbl-ground-cover-unified">
        <w:r>
          <w:rPr>
            <w:rStyle w:val="Hyperlink"/>
          </w:rPr>
          <w:t xml:space="preserve">Table 7</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66" w:name="fig-ground-cover"/>
          <w:p>
            <w:pPr>
              <w:pStyle w:val="Compact"/>
              <w:jc w:val="center"/>
            </w:pPr>
            <w:r>
              <w:drawing>
                <wp:inline>
                  <wp:extent cx="5334000" cy="5334000"/>
                  <wp:effectExtent b="0" l="0" r="0" t="0"/>
                  <wp:docPr descr="" title="" id="64" name="Picture"/>
                  <a:graphic>
                    <a:graphicData uri="http://schemas.openxmlformats.org/drawingml/2006/picture">
                      <pic:pic>
                        <pic:nvPicPr>
                          <pic:cNvPr descr="manuscript_methods_results_files/figure-docx/fig-ground-cover-1.png" id="65" name="Picture"/>
                          <pic:cNvPicPr>
                            <a:picLocks noChangeArrowheads="1" noChangeAspect="1"/>
                          </pic:cNvPicPr>
                        </pic:nvPicPr>
                        <pic:blipFill>
                          <a:blip r:embed="rId6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66"/>
        </w:tc>
      </w:tr>
    </w:tbl>
    <w:bookmarkEnd w:id="67"/>
    <w:bookmarkEnd w:id="68"/>
    <w:bookmarkStart w:id="84" w:name="supplementary-figures"/>
    <w:p>
      <w:pPr>
        <w:pStyle w:val="Heading1"/>
      </w:pPr>
      <w:r>
        <w:t xml:space="preserve">3. Supplementary Figures</w:t>
      </w:r>
    </w:p>
    <w:bookmarkStart w:id="73"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72" w:name="X622817e625c1174d83aa9a440ea53781e93006f"/>
          <w:p>
            <w:pPr>
              <w:pStyle w:val="Compact"/>
              <w:jc w:val="center"/>
            </w:pPr>
            <w:r>
              <w:drawing>
                <wp:inline>
                  <wp:extent cx="5334000" cy="5334000"/>
                  <wp:effectExtent b="0" l="0" r="0" t="0"/>
                  <wp:docPr descr="" title="" id="70" name="Picture"/>
                  <a:graphic>
                    <a:graphicData uri="http://schemas.openxmlformats.org/drawingml/2006/picture">
                      <pic:pic>
                        <pic:nvPicPr>
                          <pic:cNvPr descr="manuscript_methods_results_files/figure-docx/fig-supp-raw-count-treatment-mission-region-1.png" id="71" name="Picture"/>
                          <pic:cNvPicPr>
                            <a:picLocks noChangeArrowheads="1" noChangeAspect="1"/>
                          </pic:cNvPicPr>
                        </pic:nvPicPr>
                        <pic:blipFill>
                          <a:blip r:embed="rId6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Ground cover by fertilizer treatment and mission across regions. Ground cover increased throughout the growing season across all regions, with minimal differences between control and fertilized treatments. No significant fertilizer × mission interaction was detected.</w:t>
            </w:r>
          </w:p>
          <w:bookmarkEnd w:id="72"/>
        </w:tc>
      </w:tr>
    </w:tbl>
    <w:bookmarkEnd w:id="73"/>
    <w:bookmarkStart w:id="78"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77" w:name="fig-supp-ground-cover-treatment"/>
          <w:p>
            <w:pPr>
              <w:pStyle w:val="Compact"/>
              <w:jc w:val="center"/>
            </w:pPr>
            <w:r>
              <w:drawing>
                <wp:inline>
                  <wp:extent cx="5334000" cy="5334000"/>
                  <wp:effectExtent b="0" l="0" r="0" t="0"/>
                  <wp:docPr descr="" title="" id="75" name="Picture"/>
                  <a:graphic>
                    <a:graphicData uri="http://schemas.openxmlformats.org/drawingml/2006/picture">
                      <pic:pic>
                        <pic:nvPicPr>
                          <pic:cNvPr descr="manuscript_methods_results_files/figure-docx/fig-supp-ground-cover-treatment-1.png" id="76" name="Picture"/>
                          <pic:cNvPicPr>
                            <a:picLocks noChangeArrowheads="1" noChangeAspect="1"/>
                          </pic:cNvPicPr>
                        </pic:nvPicPr>
                        <pic:blipFill>
                          <a:blip r:embed="rId7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No significant fertilizer × mission interaction was detected.</w:t>
            </w:r>
          </w:p>
          <w:bookmarkEnd w:id="77"/>
        </w:tc>
      </w:tr>
    </w:tbl>
    <w:bookmarkEnd w:id="78"/>
    <w:bookmarkStart w:id="83"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82" w:name="fig-supp-temperature-mission"/>
          <w:p>
            <w:pPr>
              <w:pStyle w:val="Compact"/>
              <w:jc w:val="center"/>
            </w:pPr>
            <w:r>
              <w:drawing>
                <wp:inline>
                  <wp:extent cx="5334000" cy="5334000"/>
                  <wp:effectExtent b="0" l="0" r="0" t="0"/>
                  <wp:docPr descr="" title="" id="80" name="Picture"/>
                  <a:graphic>
                    <a:graphicData uri="http://schemas.openxmlformats.org/drawingml/2006/picture">
                      <pic:pic>
                        <pic:nvPicPr>
                          <pic:cNvPr descr="manuscript_methods_results_files/figure-docx/fig-supp-temperature-mission-1.pn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82"/>
        </w:tc>
      </w:tr>
    </w:tbl>
    <w:bookmarkEnd w:id="83"/>
    <w:bookmarkEnd w:id="84"/>
    <w:bookmarkStart w:id="132" w:name="supplementary-tables"/>
    <w:p>
      <w:pPr>
        <w:pStyle w:val="Heading1"/>
      </w:pPr>
      <w:r>
        <w:t xml:space="preserve">4. Supplementary Tables</w:t>
      </w:r>
    </w:p>
    <w:bookmarkStart w:id="89" w:name="grasshopper-density-analysis-tables"/>
    <w:p>
      <w:pPr>
        <w:pStyle w:val="Heading2"/>
      </w:pPr>
      <w:r>
        <w:t xml:space="preserve">4.1 grasshopper Density Analysis Tables</w:t>
      </w:r>
    </w:p>
    <w:bookmarkStart w:id="86" w:name="model-summaries-by-mission"/>
    <w:p>
      <w:pPr>
        <w:pStyle w:val="Heading3"/>
      </w:pPr>
      <w:r>
        <w:t xml:space="preserve">4.1.1 Model Summaries by Mission</w:t>
      </w:r>
    </w:p>
    <w:tbl>
      <w:tblPr>
        <w:tblStyle w:val="Table"/>
        <w:tblW w:type="pct" w:w="5000"/>
        <w:tblLayout w:type="fixed"/>
        <w:tblLook w:firstRow="0" w:lastRow="0" w:firstColumn="0" w:lastColumn="0" w:noHBand="0" w:noVBand="0" w:val="0000"/>
      </w:tblPr>
      <w:tblGrid>
        <w:gridCol w:w="7920"/>
      </w:tblGrid>
      <w:tr>
        <w:tc>
          <w:tcPr/>
          <w:bookmarkStart w:id="85" w:name="tbl-ose-density-models"/>
          <w:p>
            <w:pPr>
              <w:jc w:val="center"/>
            </w:pPr>
            <w:pPr>
              <w:jc w:val="left"/>
              <w:spacing w:before="200"/>
              <w:pStyle w:val="ImageCaption"/>
            </w:pPr>
            <w:r>
              <w:t xml:space="preserve">Table 1: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percent_ground_cover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percent_ground_cover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percent_ground_cover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85"/>
        </w:tc>
      </w:tr>
    </w:tbl>
    <w:bookmarkEnd w:id="86"/>
    <w:bookmarkStart w:id="88" w:name="pairwise-comparisons-by-mission"/>
    <w:p>
      <w:pPr>
        <w:pStyle w:val="Heading3"/>
      </w:pPr>
      <w:r>
        <w:t xml:space="preserve">4.1.2 Pairwise Comparisons by Mission</w:t>
      </w:r>
    </w:p>
    <w:tbl>
      <w:tblPr>
        <w:tblStyle w:val="Table"/>
        <w:tblW w:type="pct" w:w="5000"/>
        <w:tblLayout w:type="fixed"/>
        <w:tblLook w:firstRow="0" w:lastRow="0" w:firstColumn="0" w:lastColumn="0" w:noHBand="0" w:noVBand="0" w:val="0000"/>
      </w:tblPr>
      <w:tblGrid>
        <w:gridCol w:w="7920"/>
      </w:tblGrid>
      <w:tr>
        <w:tc>
          <w:tcPr/>
          <w:bookmarkStart w:id="87" w:name="tbl-ose-density-pairwise"/>
          <w:p>
            <w:pPr>
              <w:jc w:val="center"/>
            </w:pPr>
            <w:pPr>
              <w:jc w:val="left"/>
              <w:spacing w:before="200"/>
              <w:pStyle w:val="ImageCaption"/>
            </w:pPr>
            <w:r>
              <w:t xml:space="preserve">Table 2: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-22.922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7"/>
        </w:tc>
      </w:tr>
    </w:tbl>
    <w:bookmarkEnd w:id="88"/>
    <w:bookmarkEnd w:id="89"/>
    <w:bookmarkStart w:id="94" w:name="grasshopper-damage-analysis-tables"/>
    <w:p>
      <w:pPr>
        <w:pStyle w:val="Heading2"/>
      </w:pPr>
      <w:r>
        <w:t xml:space="preserve">4.2 Grasshopper Damage Analysis Tables</w:t>
      </w:r>
    </w:p>
    <w:bookmarkStart w:id="91" w:name="model-summaries-by-mission-1"/>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90" w:name="tbl-ose-damage-models"/>
          <w:p>
            <w:pPr>
              <w:jc w:val="center"/>
            </w:pPr>
            <w:pPr>
              <w:jc w:val="left"/>
              <w:spacing w:before="200"/>
              <w:pStyle w:val="ImageCaption"/>
            </w:pPr>
            <w:r>
              <w:t xml:space="preserve">Table 3: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90"/>
        </w:tc>
      </w:tr>
    </w:tbl>
    <w:bookmarkEnd w:id="91"/>
    <w:bookmarkStart w:id="93" w:name="pairwise-comparisons-by-mission-1"/>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92" w:name="tbl-ose-damage-pairwise"/>
          <w:p>
            <w:pPr>
              <w:jc w:val="center"/>
            </w:pPr>
            <w:pPr>
              <w:jc w:val="left"/>
              <w:spacing w:before="200"/>
              <w:pStyle w:val="ImageCaption"/>
            </w:pPr>
            <w:r>
              <w:t xml:space="preserve">Table 4: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0.687</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92"/>
        </w:tc>
      </w:tr>
    </w:tbl>
    <w:bookmarkEnd w:id="93"/>
    <w:bookmarkEnd w:id="94"/>
    <w:bookmarkStart w:id="99" w:name="millet-yield-analysis-tables"/>
    <w:p>
      <w:pPr>
        <w:pStyle w:val="Heading2"/>
      </w:pPr>
      <w:r>
        <w:t xml:space="preserve">4.3 Millet Yield Analysis Tables</w:t>
      </w:r>
    </w:p>
    <w:bookmarkStart w:id="96" w:name="model-summary"/>
    <w:p>
      <w:pPr>
        <w:pStyle w:val="Heading3"/>
      </w:pPr>
      <w:r>
        <w:t xml:space="preserve">4.3.1 Model Summary</w:t>
      </w:r>
    </w:p>
    <w:tbl>
      <w:tblPr>
        <w:tblStyle w:val="Table"/>
        <w:tblW w:type="pct" w:w="5000"/>
        <w:tblLayout w:type="fixed"/>
        <w:tblLook w:firstRow="0" w:lastRow="0" w:firstColumn="0" w:lastColumn="0" w:noHBand="0" w:noVBand="0" w:val="0000"/>
      </w:tblPr>
      <w:tblGrid>
        <w:gridCol w:w="7920"/>
      </w:tblGrid>
      <w:tr>
        <w:tc>
          <w:tcPr/>
          <w:bookmarkStart w:id="95" w:name="tbl-yield-model"/>
          <w:p>
            <w:pPr>
              <w:jc w:val="center"/>
            </w:pPr>
            <w:pPr>
              <w:jc w:val="left"/>
              <w:spacing w:before="200"/>
              <w:pStyle w:val="ImageCaption"/>
            </w:pPr>
            <w:r>
              <w:t xml:space="preserve">Table 5: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8"/>
                </w:tcPr>
                <w:p>
                  <w:pPr>
                    <w:spacing w:before="0" w:after="60"/>
                    <w:keepNext/>
                  </w:pPr>
                  <w:r>
                    <w:rPr>
                      <w:rFonts w:ascii="Calibri" w:hAnsi="Calibri"/>
                      <w:sz w:val="20"/>
                    </w:rPr>
                    <w:t xml:space="preserve">Significance: *** p &lt; 0.001, ** p &lt; 0.01, * p &lt; 0.05</w:t>
                  </w:r>
                </w:p>
              </w:tc>
            </w:tr>
          </w:tbl>
          <w:bookmarkEnd w:id="95"/>
        </w:tc>
      </w:tr>
    </w:tbl>
    <w:bookmarkEnd w:id="96"/>
    <w:bookmarkStart w:id="98" w:name="pairwise-comparisons"/>
    <w:p>
      <w:pPr>
        <w:pStyle w:val="Heading3"/>
      </w:pPr>
      <w:r>
        <w:t xml:space="preserve">4.3.2 Pairwise Comparisons</w:t>
      </w:r>
    </w:p>
    <w:tbl>
      <w:tblPr>
        <w:tblStyle w:val="Table"/>
        <w:tblW w:type="pct" w:w="5000"/>
        <w:tblLayout w:type="fixed"/>
        <w:tblLook w:firstRow="0" w:lastRow="0" w:firstColumn="0" w:lastColumn="0" w:noHBand="0" w:noVBand="0" w:val="0000"/>
      </w:tblPr>
      <w:tblGrid>
        <w:gridCol w:w="7920"/>
      </w:tblGrid>
      <w:tr>
        <w:tc>
          <w:tcPr/>
          <w:bookmarkStart w:id="97" w:name="tbl-yield-pairwise"/>
          <w:p>
            <w:pPr>
              <w:jc w:val="center"/>
            </w:pPr>
            <w:pPr>
              <w:jc w:val="left"/>
              <w:spacing w:before="200"/>
              <w:pStyle w:val="ImageCaption"/>
            </w:pPr>
            <w:r>
              <w:t xml:space="preserve">Table 6: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2.418e-01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9.822e-01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2.301e-01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9.648e-01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7"/>
                </w:tcPr>
                <w:p>
                  <w:pPr>
                    <w:spacing w:before="0" w:after="60"/>
                    <w:keepNext/>
                  </w:pPr>
                  <w:r>
                    <w:rPr>
                      <w:rFonts w:ascii="Calibri" w:hAnsi="Calibri"/>
                      <w:sz w:val="20"/>
                    </w:rPr>
                    <w:t xml:space="preserve">Significance: *** p &lt; 0.001, ** p &lt; 0.01, * p &lt; 0.05</w:t>
                  </w:r>
                </w:p>
              </w:tc>
            </w:tr>
          </w:tbl>
          <w:bookmarkEnd w:id="97"/>
        </w:tc>
      </w:tr>
    </w:tbl>
    <w:bookmarkEnd w:id="98"/>
    <w:bookmarkEnd w:id="99"/>
    <w:bookmarkStart w:id="101" w:name="ground-cover-mediation-analysis-tables"/>
    <w:p>
      <w:pPr>
        <w:pStyle w:val="Heading2"/>
      </w:pPr>
      <w:r>
        <w:t xml:space="preserve">4.4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100" w:name="tbl-ground-cover-unified"/>
          <w:p>
            <w:pPr>
              <w:jc w:val="center"/>
            </w:pPr>
            <w:pPr>
              <w:jc w:val="left"/>
              <w:spacing w:before="200"/>
              <w:pStyle w:val="ImageCaption"/>
            </w:pPr>
            <w:r>
              <w:t xml:space="preserve">Table 7: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2.642169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104.633158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r>
              <w:trPr>
                <w:cantSplit/>
              </w:trPr>
              <w:tc>
                <w:tcPr>
                  <w:gridSpan w:val="7"/>
                </w:tcPr>
                <w:p>
                  <w:pPr>
                    <w:spacing w:before="0" w:after="60"/>
                    <w:keepNext/>
                  </w:pPr>
                  <w:r>
                    <w:rPr>
                      <w:rFonts w:ascii="Calibri" w:hAnsi="Calibri"/>
                      <w:sz w:val="20"/>
                    </w:rPr>
                    <w:t xml:space="preserve">Model deviance explained: 60%</w:t>
                  </w:r>
                </w:p>
              </w:tc>
            </w:tr>
          </w:tbl>
          <w:bookmarkEnd w:id="100"/>
        </w:tc>
      </w:tr>
    </w:tbl>
    <w:bookmarkEnd w:id="101"/>
    <w:bookmarkStart w:id="131" w:name="temperature-analysis-table"/>
    <w:p>
      <w:pPr>
        <w:pStyle w:val="Heading2"/>
      </w:pPr>
      <w:r>
        <w:t xml:space="preserve">4.5 Temperature Analysis Table</w:t>
      </w:r>
    </w:p>
    <w:tbl>
      <w:tblPr>
        <w:tblStyle w:val="Table"/>
        <w:tblW w:type="pct" w:w="5000"/>
        <w:tblLayout w:type="fixed"/>
        <w:tblLook w:firstRow="0" w:lastRow="0" w:firstColumn="0" w:lastColumn="0" w:noHBand="0" w:noVBand="0" w:val="0000"/>
      </w:tblPr>
      <w:tblGrid>
        <w:gridCol w:w="7920"/>
      </w:tblGrid>
      <w:tr>
        <w:tc>
          <w:tcPr/>
          <w:bookmarkStart w:id="102" w:name="tbl-temperature-model"/>
          <w:p>
            <w:pPr>
              <w:jc w:val="center"/>
            </w:pPr>
            <w:pPr>
              <w:jc w:val="left"/>
              <w:spacing w:before="200"/>
              <w:pStyle w:val="ImageCaption"/>
            </w:pPr>
            <w:r>
              <w:t xml:space="preserve">Table 8: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(smooth)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5"/>
                </w:tcPr>
                <w:p>
                  <w:pPr>
                    <w:spacing w:before="0" w:after="60"/>
                    <w:keepNext/>
                  </w:pPr>
                  <w:r>
                    <w:rPr>
                      <w:rFonts w:ascii="Calibri" w:hAnsi="Calibri"/>
                      <w:sz w:val="20"/>
                    </w:rPr>
                    <w:t xml:space="preserve">Model deviance explained: 37%. Analysis restricted to control plots only.</w:t>
                  </w:r>
                </w:p>
              </w:tc>
            </w:tr>
          </w:tbl>
          <w:bookmarkEnd w:id="102"/>
        </w:tc>
      </w:tr>
    </w:tbl>
    <w:bookmarkStart w:id="130" w:name="refs"/>
    <w:bookmarkStart w:id="104" w:name="ref-brooks2017glmmtmb"/>
    <w:p>
      <w:pPr>
        <w:pStyle w:val="Bibliography"/>
      </w:pPr>
      <w:r>
        <w:t xml:space="preserve">Brooks, Mollie E., Kasper Kristensen, Koen J. van Benthem, Arni Magnusson, Casper W. Berg, Anders Nielsen, Hans J. Skaug, Martin Maechler, and Benjamin M. Bolker.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103">
        <w:r>
          <w:rPr>
            <w:rStyle w:val="Hyperlink"/>
          </w:rPr>
          <w:t xml:space="preserve">https://doi.org/10.32614/RJ-2017-066</w:t>
        </w:r>
      </w:hyperlink>
      <w:r>
        <w:t xml:space="preserve">.</w:t>
      </w:r>
    </w:p>
    <w:bookmarkEnd w:id="104"/>
    <w:bookmarkStart w:id="106" w:name="ref-funk2015climate"/>
    <w:p>
      <w:pPr>
        <w:pStyle w:val="Bibliography"/>
      </w:pPr>
      <w:r>
        <w:t xml:space="preserve">Funk, C., P. Peterson, M. Landsfeld, D. Pedreros, J. Verdin, S. Shukla, G. Husak,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105">
        <w:r>
          <w:rPr>
            <w:rStyle w:val="Hyperlink"/>
          </w:rPr>
          <w:t xml:space="preserve">https://doi.org/10.1038/sdata.2015.66</w:t>
        </w:r>
      </w:hyperlink>
      <w:r>
        <w:t xml:space="preserve">.</w:t>
      </w:r>
    </w:p>
    <w:bookmarkEnd w:id="106"/>
    <w:bookmarkStart w:id="108"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107">
        <w:r>
          <w:rPr>
            <w:rStyle w:val="Hyperlink"/>
          </w:rPr>
          <w:t xml:space="preserve">https://doi.org/10.1016/j.rse.2017.06.031</w:t>
        </w:r>
      </w:hyperlink>
      <w:r>
        <w:t xml:space="preserve">.</w:t>
      </w:r>
    </w:p>
    <w:bookmarkEnd w:id="108"/>
    <w:bookmarkStart w:id="110"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109">
        <w:r>
          <w:rPr>
            <w:rStyle w:val="Hyperlink"/>
          </w:rPr>
          <w:t xml:space="preserve">https://CRAN.R-project.org/package=DHARMa</w:t>
        </w:r>
      </w:hyperlink>
      <w:r>
        <w:t xml:space="preserve">.</w:t>
      </w:r>
    </w:p>
    <w:bookmarkEnd w:id="110"/>
    <w:bookmarkStart w:id="112"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11">
        <w:r>
          <w:rPr>
            <w:rStyle w:val="Hyperlink"/>
          </w:rPr>
          <w:t xml:space="preserve">https://doi.org/10.21105/joss.05751</w:t>
        </w:r>
      </w:hyperlink>
      <w:r>
        <w:t xml:space="preserve">.</w:t>
      </w:r>
    </w:p>
    <w:bookmarkEnd w:id="112"/>
    <w:bookmarkStart w:id="114"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13">
        <w:r>
          <w:rPr>
            <w:rStyle w:val="Hyperlink"/>
          </w:rPr>
          <w:t xml:space="preserve">https://rspatial.org/</w:t>
        </w:r>
      </w:hyperlink>
      <w:r>
        <w:t xml:space="preserve">.</w:t>
      </w:r>
    </w:p>
    <w:bookmarkEnd w:id="114"/>
    <w:bookmarkStart w:id="116"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15">
        <w:r>
          <w:rPr>
            <w:rStyle w:val="Hyperlink"/>
          </w:rPr>
          <w:t xml:space="preserve">https://rvlenth.github.io/emmeans/</w:t>
        </w:r>
      </w:hyperlink>
      <w:r>
        <w:t xml:space="preserve">.</w:t>
      </w:r>
    </w:p>
    <w:bookmarkEnd w:id="116"/>
    <w:bookmarkStart w:id="118"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17">
        <w:r>
          <w:rPr>
            <w:rStyle w:val="Hyperlink"/>
          </w:rPr>
          <w:t xml:space="preserve">https://docs.ropensci.org/rnaturalearth/</w:t>
        </w:r>
      </w:hyperlink>
      <w:r>
        <w:t xml:space="preserve">.</w:t>
      </w:r>
    </w:p>
    <w:bookmarkEnd w:id="118"/>
    <w:bookmarkStart w:id="120"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19">
        <w:r>
          <w:rPr>
            <w:rStyle w:val="Hyperlink"/>
          </w:rPr>
          <w:t xml:space="preserve">https://doi.org/10.18637/jss.v112.i01</w:t>
        </w:r>
      </w:hyperlink>
      <w:r>
        <w:t xml:space="preserve">.</w:t>
      </w:r>
    </w:p>
    <w:bookmarkEnd w:id="120"/>
    <w:bookmarkStart w:id="122"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21">
        <w:r>
          <w:rPr>
            <w:rStyle w:val="Hyperlink"/>
          </w:rPr>
          <w:t xml:space="preserve">https://doi.org/10.21105/joss.06962</w:t>
        </w:r>
      </w:hyperlink>
      <w:r>
        <w:t xml:space="preserve">.</w:t>
      </w:r>
    </w:p>
    <w:bookmarkEnd w:id="122"/>
    <w:bookmarkStart w:id="124"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23">
        <w:r>
          <w:rPr>
            <w:rStyle w:val="Hyperlink"/>
          </w:rPr>
          <w:t xml:space="preserve">https://ggplot2.tidyverse.org</w:t>
        </w:r>
      </w:hyperlink>
      <w:r>
        <w:t xml:space="preserve">.</w:t>
      </w:r>
    </w:p>
    <w:bookmarkEnd w:id="124"/>
    <w:bookmarkStart w:id="126" w:name="ref-wickham2019tidyverse"/>
    <w:p>
      <w:pPr>
        <w:pStyle w:val="Bibliography"/>
      </w:pPr>
      <w:r>
        <w:t xml:space="preserve">Wickham, Hadley, Mara Averick, Jennifer Bryan, Winston Chang, Lucy D’Agostino McGowan, Romain François, Garrett Grolemund,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25">
        <w:r>
          <w:rPr>
            <w:rStyle w:val="Hyperlink"/>
          </w:rPr>
          <w:t xml:space="preserve">https://doi.org/10.21105/joss.01686</w:t>
        </w:r>
      </w:hyperlink>
      <w:r>
        <w:t xml:space="preserve">.</w:t>
      </w:r>
    </w:p>
    <w:bookmarkEnd w:id="126"/>
    <w:bookmarkStart w:id="127"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27"/>
    <w:bookmarkStart w:id="128" w:name="ref-wood2011fast"/>
    <w:p>
      <w:pPr>
        <w:pStyle w:val="Bibliography"/>
      </w:pPr>
      <w:r>
        <w:t xml:space="preserve">———.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28"/>
    <w:bookmarkStart w:id="129" w:name="ref-wood2017generalized"/>
    <w:p>
      <w:pPr>
        <w:pStyle w:val="Bibliography"/>
      </w:pPr>
      <w:r>
        <w:t xml:space="preserve">———. 2017.</w:t>
      </w:r>
      <w:r>
        <w:t xml:space="preserve"> </w:t>
      </w:r>
      <w:r>
        <w:rPr>
          <w:i/>
          <w:iCs/>
        </w:rPr>
        <w:t xml:space="preserve">Generalized Additive Models: An Introduction with r</w:t>
      </w:r>
      <w:r>
        <w:t xml:space="preserve">. 2nd ed. Chapman; Hall/CRC.</w:t>
      </w:r>
    </w:p>
    <w:bookmarkEnd w:id="129"/>
    <w:bookmarkEnd w:id="130"/>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63" Target="media/rId63.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image" Id="rId74" Target="media/rId74.png"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58" Target="media/rId58.png" /><Relationship Type="http://schemas.openxmlformats.org/officeDocument/2006/relationships/hyperlink" Id="rId109" Target="https://CRAN.R-project.org/package=DHARMa" TargetMode="External" /><Relationship Type="http://schemas.openxmlformats.org/officeDocument/2006/relationships/hyperlink" Id="rId117" Target="https://docs.ropensci.org/rnaturalearth/" TargetMode="External" /><Relationship Type="http://schemas.openxmlformats.org/officeDocument/2006/relationships/hyperlink" Id="rId107" Target="https://doi.org/10.1016/j.rse.2017.06.031" TargetMode="External" /><Relationship Type="http://schemas.openxmlformats.org/officeDocument/2006/relationships/hyperlink" Id="rId105" Target="https://doi.org/10.1038/sdata.2015.66" TargetMode="External" /><Relationship Type="http://schemas.openxmlformats.org/officeDocument/2006/relationships/hyperlink" Id="rId119" Target="https://doi.org/10.18637/jss.v112.i01" TargetMode="External" /><Relationship Type="http://schemas.openxmlformats.org/officeDocument/2006/relationships/hyperlink" Id="rId125" Target="https://doi.org/10.21105/joss.01686" TargetMode="External" /><Relationship Type="http://schemas.openxmlformats.org/officeDocument/2006/relationships/hyperlink" Id="rId111" Target="https://doi.org/10.21105/joss.05751" TargetMode="External" /><Relationship Type="http://schemas.openxmlformats.org/officeDocument/2006/relationships/hyperlink" Id="rId121" Target="https://doi.org/10.21105/joss.06962" TargetMode="External" /><Relationship Type="http://schemas.openxmlformats.org/officeDocument/2006/relationships/hyperlink" Id="rId103" Target="https://doi.org/10.32614/RJ-2017-066" TargetMode="External" /><Relationship Type="http://schemas.openxmlformats.org/officeDocument/2006/relationships/hyperlink" Id="rId123" Target="https://ggplot2.tidyverse.org" TargetMode="External" /><Relationship Type="http://schemas.openxmlformats.org/officeDocument/2006/relationships/hyperlink" Id="rId20" Target="https://github.com/ddlawton/OSE-Range-Analysis" TargetMode="External" /><Relationship Type="http://schemas.openxmlformats.org/officeDocument/2006/relationships/hyperlink" Id="rId113" Target="https://rspatial.org/" TargetMode="External" /><Relationship Type="http://schemas.openxmlformats.org/officeDocument/2006/relationships/hyperlink" Id="rId115"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109" Target="https://CRAN.R-project.org/package=DHARMa" TargetMode="External" /><Relationship Type="http://schemas.openxmlformats.org/officeDocument/2006/relationships/hyperlink" Id="rId117" Target="https://docs.ropensci.org/rnaturalearth/" TargetMode="External" /><Relationship Type="http://schemas.openxmlformats.org/officeDocument/2006/relationships/hyperlink" Id="rId107" Target="https://doi.org/10.1016/j.rse.2017.06.031" TargetMode="External" /><Relationship Type="http://schemas.openxmlformats.org/officeDocument/2006/relationships/hyperlink" Id="rId105" Target="https://doi.org/10.1038/sdata.2015.66" TargetMode="External" /><Relationship Type="http://schemas.openxmlformats.org/officeDocument/2006/relationships/hyperlink" Id="rId119" Target="https://doi.org/10.18637/jss.v112.i01" TargetMode="External" /><Relationship Type="http://schemas.openxmlformats.org/officeDocument/2006/relationships/hyperlink" Id="rId125" Target="https://doi.org/10.21105/joss.01686" TargetMode="External" /><Relationship Type="http://schemas.openxmlformats.org/officeDocument/2006/relationships/hyperlink" Id="rId111" Target="https://doi.org/10.21105/joss.05751" TargetMode="External" /><Relationship Type="http://schemas.openxmlformats.org/officeDocument/2006/relationships/hyperlink" Id="rId121" Target="https://doi.org/10.21105/joss.06962" TargetMode="External" /><Relationship Type="http://schemas.openxmlformats.org/officeDocument/2006/relationships/hyperlink" Id="rId103" Target="https://doi.org/10.32614/RJ-2017-066" TargetMode="External" /><Relationship Type="http://schemas.openxmlformats.org/officeDocument/2006/relationships/hyperlink" Id="rId123" Target="https://ggplot2.tidyverse.org" TargetMode="External" /><Relationship Type="http://schemas.openxmlformats.org/officeDocument/2006/relationships/hyperlink" Id="rId20" Target="https://github.com/ddlawton/OSE-Range-Analysis" TargetMode="External" /><Relationship Type="http://schemas.openxmlformats.org/officeDocument/2006/relationships/hyperlink" Id="rId113" Target="https://rspatial.org/" TargetMode="External" /><Relationship Type="http://schemas.openxmlformats.org/officeDocument/2006/relationships/hyperlink" Id="rId115"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2026-01-19T19:26:49Z</dcterms:created>
  <dcterms:modified xsi:type="dcterms:W3CDTF">2026-01-19T19:26:49Z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2026-01-19</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Effects of fertilizer treatment on Senegalese grasshopper (Oedaleus senegalensis) density, crop damage, and millet yield</vt:lpwstr>
  </property>
  <property fmtid="{D5CDD505-2E9C-101B-9397-08002B2CF9AE}" pid="13" name="toc-title">
    <vt:lpwstr>Table of contents</vt:lpwstr>
  </property>
</Properties>
</file>