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1.png" ContentType="image/png"/>
  <Override PartName="/word/media/rId26.png" ContentType="image/png"/>
  <Override PartName="/word/media/rId30.png" ContentType="image/png"/>
  <Override PartName="/word/media/rId41.png" ContentType="image/png"/>
  <Override PartName="/word/media/rId36.png" ContentType="image/png"/>
  <Override PartName="/word/media/rId62.png" ContentType="image/png"/>
  <Override PartName="/word/media/rId57.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statistical-analyses"/>
    <w:p>
      <w:pPr>
        <w:pStyle w:val="Heading1"/>
      </w:pPr>
      <w:r>
        <w:t xml:space="preserve">1. Statistical analyses</w:t>
      </w:r>
    </w:p>
    <w:bookmarkStart w:id="10" w:name="X508921ab544f8df5320df222d4d0b65ac7e9cfd"/>
    <w:p>
      <w:pPr>
        <w:pStyle w:val="Heading2"/>
      </w:pPr>
      <w:r>
        <w:t xml:space="preserve">1.1 General statistical and programatic approach</w:t>
      </w:r>
    </w:p>
    <w:p>
      <w:pPr>
        <w:pStyle w:val="FirstParagraph"/>
      </w:pPr>
      <w:r>
        <w:t xml:space="preserve">All statistics were conducted in R version 4.5.2 (2025-10-31)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9">
        <w:r>
          <w:rPr>
            <w:rStyle w:val="Hyperlink"/>
          </w:rPr>
          <w:t xml:space="preserve">github.com/ddlawton/OSE-Range-Analysis</w:t>
        </w:r>
      </w:hyperlink>
      <w:r>
        <w:t xml:space="preserve">. Upon publication a github archive snapshot will be created and stored in Zenodo for reproducibility with a DOI and citation.</w:t>
      </w:r>
    </w:p>
    <w:p>
      <w:pPr>
        <w:pStyle w:val="BodyText"/>
      </w:pPr>
      <w:r>
        <w:t xml:space="preserve">Throughout this manuscript, significance is denoted using asterisks: *** p &lt; 0.001, ** p &lt; 0.01, * p &lt; 0.05.</w:t>
      </w:r>
    </w:p>
    <w:bookmarkEnd w:id="10"/>
    <w:bookmarkStart w:id="11"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11"/>
    <w:bookmarkStart w:id="12"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In both cases, we included fertilizer treatment, region, and their interaction as fixed effects, and farmer as a random effect to account for repeated measures since each farmer has a control and fertilized field.</w:t>
      </w:r>
    </w:p>
    <w:p>
      <w:pPr>
        <w:pStyle w:val="BodyText"/>
      </w:pPr>
      <w:r>
        <w:rPr>
          <w:b/>
          <w:bCs/>
        </w:rPr>
        <w:t xml:space="preserve">Data adjustments:</w:t>
      </w:r>
      <w:r>
        <w:t xml:space="preserve"> </w:t>
      </w:r>
      <w:r>
        <w:t xml:space="preserve">The OSE density data (ose_count) received from collaborators had already been adjusted for the proportion of OSE in the total grasshopper population, which is appropriate for density analysis. For damage analysis, we reversed this adjustment to represent total grasshopper damage rather than OSE-specific damage, maintaining consistency with our previous publications. The adjustment used region-specific OSE proportions averaged across missions: Kaffrine = 0.93, Fatick = 0.91, Thies = 0.79, Saint Louis = 0.65.</w:t>
      </w:r>
    </w:p>
    <w:bookmarkEnd w:id="12"/>
    <w:bookmarkStart w:id="13"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13"/>
    <w:bookmarkStart w:id="14"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14"/>
    <w:bookmarkEnd w:id="15"/>
    <w:bookmarkStart w:id="56" w:name="results"/>
    <w:p>
      <w:pPr>
        <w:pStyle w:val="Heading1"/>
      </w:pPr>
      <w:r>
        <w:t xml:space="preserve">2. Results</w:t>
      </w:r>
    </w:p>
    <w:bookmarkStart w:id="16"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 The full temperature statistical model is in</w:t>
      </w:r>
      <w:r>
        <w:t xml:space="preserve"> </w:t>
      </w:r>
      <w:hyperlink w:anchor="tbl-temperature-model">
        <w:r>
          <w:rPr>
            <w:rStyle w:val="Hyperlink"/>
          </w:rPr>
          <w:t xml:space="preserve">Table 9</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16"/>
    <w:bookmarkStart w:id="17"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17"/>
    <w:bookmarkStart w:id="25" w:name="crop-impact"/>
    <w:p>
      <w:pPr>
        <w:pStyle w:val="Heading2"/>
      </w:pPr>
      <w:r>
        <w:t xml:space="preserve">2.3 Crop impact</w:t>
      </w:r>
    </w:p>
    <w:bookmarkStart w:id="18"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0.004) to highly significant by late season (Mission 3: estimate = -1.341, p &lt; 0.001;</w:t>
      </w:r>
      <w:r>
        <w:t xml:space="preserve"> </w:t>
      </w:r>
      <w:hyperlink w:anchor="tbl-ose-density-models">
        <w:r>
          <w:rPr>
            <w:rStyle w:val="Hyperlink"/>
          </w:rPr>
          <w:t xml:space="preserve">Table 2</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-times higher in Thiès. Across all missions, the suppressive effect of fertilization in Kaffrine ranged from 1.1–3.4-fold (</w:t>
      </w:r>
      <w:hyperlink w:anchor="tbl-ose-density-pairwise">
        <w:r>
          <w:rPr>
            <w:rStyle w:val="Hyperlink"/>
          </w:rPr>
          <w:t xml:space="preserve">Table 3</w:t>
        </w:r>
      </w:hyperlink>
      <w:r>
        <w:t xml:space="preserve">).</w:t>
      </w:r>
    </w:p>
    <w:bookmarkEnd w:id="18"/>
    <w:bookmarkStart w:id="19"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-1.351, p = 0.026;</w:t>
      </w:r>
      <w:r>
        <w:t xml:space="preserve"> </w:t>
      </w:r>
      <w:hyperlink w:anchor="tbl-ose-damage-models">
        <w:r>
          <w:rPr>
            <w:rStyle w:val="Hyperlink"/>
          </w:rPr>
          <w:t xml:space="preserve">Table 4</w:t>
        </w:r>
      </w:hyperlink>
      <w:r>
        <w:t xml:space="preserve">). Control fields had 3–13 times higher damage than fertilized fields by the last mission, with effects particularly pronounced in Fatick and Kaffrine (</w:t>
      </w:r>
      <w:hyperlink w:anchor="tbl-ose-damage-pairwise">
        <w:r>
          <w:rPr>
            <w:rStyle w:val="Hyperlink"/>
          </w:rPr>
          <w:t xml:space="preserve">Table 5</w:t>
        </w:r>
      </w:hyperlink>
      <w:r>
        <w:t xml:space="preserve">).</w:t>
      </w:r>
    </w:p>
    <w:bookmarkEnd w:id="19"/>
    <w:bookmarkStart w:id="24" w:name="millet-yield"/>
    <w:p>
      <w:pPr>
        <w:pStyle w:val="Heading3"/>
      </w:pPr>
      <w:r>
        <w:t xml:space="preserve">2.3.3 Millet yield</w:t>
      </w:r>
    </w:p>
    <w:p>
      <w:pPr>
        <w:pStyle w:val="FirstParagraph"/>
      </w:pPr>
      <w:r>
        <w:t xml:space="preserve">Fertilizer treatment significantly increased millet yield across all harvested regions (estimate = 0.939, p &lt; 0.001), with the strongest effect in Thiès (p not available;</w:t>
      </w:r>
      <w:r>
        <w:t xml:space="preserve"> </w:t>
      </w:r>
      <w:hyperlink w:anchor="tbl-yield-model">
        <w:r>
          <w:rPr>
            <w:rStyle w:val="Hyperlink"/>
          </w:rPr>
          <w:t xml:space="preserve">Table 6</w:t>
        </w:r>
      </w:hyperlink>
      <w:r>
        <w:t xml:space="preserve">,</w:t>
      </w:r>
      <w:r>
        <w:t xml:space="preserve"> </w:t>
      </w:r>
      <w:hyperlink w:anchor="tbl-yield-pairwise">
        <w:r>
          <w:rPr>
            <w:rStyle w:val="Hyperlink"/>
          </w:rPr>
          <w:t xml:space="preserve">Table 7</w:t>
        </w:r>
      </w:hyperlink>
      <w:r>
        <w:t xml:space="preserve">). Control fields had 55%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23" w:name="fig-locust-damage-example"/>
          <w:p>
            <w:pPr>
              <w:pStyle w:val="Compact"/>
              <w:jc w:val="center"/>
            </w:pPr>
            <w:r>
              <w:drawing>
                <wp:inline>
                  <wp:extent cx="2122942" cy="1023104"/>
                  <wp:effectExtent b="0" l="0" r="0" t="0"/>
                  <wp:docPr descr="Grasshopper damage of millet leaves and ears" title="" id="21" name="Picture"/>
                  <a:graphic>
                    <a:graphicData uri="http://schemas.openxmlformats.org/drawingml/2006/picture">
                      <pic:pic>
                        <pic:nvPicPr>
                          <pic:cNvPr descr="../../data/pictures/ose_damage_on_leaves.png" id="22" name="Picture"/>
                          <pic:cNvPicPr>
                            <a:picLocks noChangeArrowheads="1" noChangeAspect="1"/>
                          </pic:cNvPicPr>
                        </pic:nvPicPr>
                        <pic:blipFill>
                          <a:blip r:embed="rId20"/>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23"/>
        </w:tc>
      </w:tr>
    </w:tbl>
    <w:bookmarkEnd w:id="24"/>
    <w:bookmarkEnd w:id="25"/>
    <w:bookmarkStart w:id="35" w:name="study-region-maps"/>
    <w:p>
      <w:pPr>
        <w:pStyle w:val="Heading2"/>
      </w:pPr>
      <w:r>
        <w:t xml:space="preserve">2.4 Study region maps</w:t>
      </w:r>
    </w:p>
    <w:bookmarkStart w:id="34"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29" w:name="fig-map-senegal"/>
          <w:p>
            <w:pPr>
              <w:pStyle w:val="Compact"/>
              <w:jc w:val="center"/>
            </w:pPr>
            <w:r>
              <w:drawing>
                <wp:inline>
                  <wp:extent cx="5334000" cy="4000500"/>
                  <wp:effectExtent b="0" l="0" r="0" t="0"/>
                  <wp:docPr descr="" title="" id="27" name="Picture"/>
                  <a:graphic>
                    <a:graphicData uri="http://schemas.openxmlformats.org/drawingml/2006/picture">
                      <pic:pic>
                        <pic:nvPicPr>
                          <pic:cNvPr descr="manuscript_methods_results_files/figure-docx/fig-map-senegal-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monthly-rainfall"/>
          <w:p>
            <w:pPr>
              <w:pStyle w:val="Compact"/>
              <w:jc w:val="center"/>
            </w:pPr>
            <w:r>
              <w:drawing>
                <wp:inline>
                  <wp:extent cx="5334000" cy="4445000"/>
                  <wp:effectExtent b="0" l="0" r="0" t="0"/>
                  <wp:docPr descr="" title="" id="31" name="Picture"/>
                  <a:graphic>
                    <a:graphicData uri="http://schemas.openxmlformats.org/drawingml/2006/picture">
                      <pic:pic>
                        <pic:nvPicPr>
                          <pic:cNvPr descr="manuscript_methods_results_files/figure-docx/fig-monthly-rainfall-1.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33"/>
        </w:tc>
      </w:tr>
    </w:tbl>
    <w:bookmarkEnd w:id="34"/>
    <w:bookmarkEnd w:id="35"/>
    <w:bookmarkStart w:id="40"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39" w:name="fig-ose-density"/>
          <w:p>
            <w:pPr>
              <w:pStyle w:val="Compact"/>
              <w:jc w:val="center"/>
            </w:pPr>
            <w:r>
              <w:drawing>
                <wp:inline>
                  <wp:extent cx="4572000" cy="9144000"/>
                  <wp:effectExtent b="0" l="0" r="0" t="0"/>
                  <wp:docPr descr="" title="" id="37" name="Picture"/>
                  <a:graphic>
                    <a:graphicData uri="http://schemas.openxmlformats.org/drawingml/2006/picture">
                      <pic:pic>
                        <pic:nvPicPr>
                          <pic:cNvPr descr="manuscript_methods_results_files/figure-docx/fig-ose-density-1.png" id="38" name="Picture"/>
                          <pic:cNvPicPr>
                            <a:picLocks noChangeArrowheads="1" noChangeAspect="1"/>
                          </pic:cNvPicPr>
                        </pic:nvPicPr>
                        <pic:blipFill>
                          <a:blip r:embed="rId36"/>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39"/>
        </w:tc>
      </w:tr>
    </w:tbl>
    <w:bookmarkEnd w:id="40"/>
    <w:bookmarkStart w:id="45"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44" w:name="fig-ose-damage"/>
          <w:p>
            <w:pPr>
              <w:pStyle w:val="Compact"/>
              <w:jc w:val="center"/>
            </w:pPr>
            <w:r>
              <w:drawing>
                <wp:inline>
                  <wp:extent cx="4572000" cy="9144000"/>
                  <wp:effectExtent b="0" l="0" r="0" t="0"/>
                  <wp:docPr descr="" title="" id="42" name="Picture"/>
                  <a:graphic>
                    <a:graphicData uri="http://schemas.openxmlformats.org/drawingml/2006/picture">
                      <pic:pic>
                        <pic:nvPicPr>
                          <pic:cNvPr descr="manuscript_methods_results_files/figure-docx/fig-ose-damage-1.png" id="43" name="Picture"/>
                          <pic:cNvPicPr>
                            <a:picLocks noChangeArrowheads="1" noChangeAspect="1"/>
                          </pic:cNvPicPr>
                        </pic:nvPicPr>
                        <pic:blipFill>
                          <a:blip r:embed="rId41"/>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leaf damage (%)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44"/>
        </w:tc>
      </w:tr>
    </w:tbl>
    <w:bookmarkEnd w:id="45"/>
    <w:bookmarkStart w:id="50"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49" w:name="fig-yield-raw"/>
          <w:p>
            <w:pPr>
              <w:pStyle w:val="Compact"/>
              <w:jc w:val="center"/>
            </w:pPr>
            <w:r>
              <w:drawing>
                <wp:inline>
                  <wp:extent cx="5334000" cy="5334000"/>
                  <wp:effectExtent b="0" l="0" r="0" t="0"/>
                  <wp:docPr descr="" title="" id="47" name="Picture"/>
                  <a:graphic>
                    <a:graphicData uri="http://schemas.openxmlformats.org/drawingml/2006/picture">
                      <pic:pic>
                        <pic:nvPicPr>
                          <pic:cNvPr descr="manuscript_methods_results_files/figure-docx/fig-yield-raw-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49"/>
        </w:tc>
      </w:tr>
    </w:tbl>
    <w:bookmarkEnd w:id="50"/>
    <w:bookmarkStart w:id="55"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60%;</w:t>
      </w:r>
      <w:r>
        <w:t xml:space="preserve"> </w:t>
      </w:r>
      <w:hyperlink w:anchor="tbl-ground-cover-unified">
        <w:r>
          <w:rPr>
            <w:rStyle w:val="Hyperlink"/>
          </w:rPr>
          <w:t xml:space="preserve">Table 8</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54" w:name="fig-ground-cover"/>
          <w:p>
            <w:pPr>
              <w:pStyle w:val="Compact"/>
              <w:jc w:val="center"/>
            </w:pPr>
            <w:r>
              <w:drawing>
                <wp:inline>
                  <wp:extent cx="5334000" cy="5334000"/>
                  <wp:effectExtent b="0" l="0" r="0" t="0"/>
                  <wp:docPr descr="" title="" id="52" name="Picture"/>
                  <a:graphic>
                    <a:graphicData uri="http://schemas.openxmlformats.org/drawingml/2006/picture">
                      <pic:pic>
                        <pic:nvPicPr>
                          <pic:cNvPr descr="manuscript_methods_results_files/figure-docx/fig-ground-cover-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54"/>
        </w:tc>
      </w:tr>
    </w:tbl>
    <w:bookmarkEnd w:id="55"/>
    <w:bookmarkEnd w:id="56"/>
    <w:bookmarkStart w:id="72" w:name="supplementary-figures"/>
    <w:p>
      <w:pPr>
        <w:pStyle w:val="Heading1"/>
      </w:pPr>
      <w:r>
        <w:t xml:space="preserve">3. Supplementary Figures</w:t>
      </w:r>
    </w:p>
    <w:bookmarkStart w:id="61"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60" w:name="X622817e625c1174d83aa9a440ea53781e93006f"/>
          <w:p>
            <w:pPr>
              <w:pStyle w:val="Compact"/>
              <w:jc w:val="center"/>
            </w:pPr>
            <w:r>
              <w:drawing>
                <wp:inline>
                  <wp:extent cx="5334000" cy="10668000"/>
                  <wp:effectExtent b="0" l="0" r="0" t="0"/>
                  <wp:docPr descr="" title="" id="58" name="Picture"/>
                  <a:graphic>
                    <a:graphicData uri="http://schemas.openxmlformats.org/drawingml/2006/picture">
                      <pic:pic>
                        <pic:nvPicPr>
                          <pic:cNvPr descr="manuscript_methods_results_files/figure-docx/fig-supp-raw-count-treatment-mission-region-1.png" id="59" name="Picture"/>
                          <pic:cNvPicPr>
                            <a:picLocks noChangeArrowheads="1" noChangeAspect="1"/>
                          </pic:cNvPicPr>
                        </pic:nvPicPr>
                        <pic:blipFill>
                          <a:blip r:embed="rId57"/>
                          <a:stretch>
                            <a:fillRect/>
                          </a:stretch>
                        </pic:blipFill>
                        <pic:spPr bwMode="auto">
                          <a:xfrm>
                            <a:off x="0" y="0"/>
                            <a:ext cx="5334000" cy="1066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Raw Senegalese grasshopper density by fertilizer treatment and mission across regions. Individual farmer observations (points) are connected by lines to show within-farm changes across missions. Density patterns varied substantially by region and mission, with no consistent fertilizer treatment effect.</w:t>
            </w:r>
          </w:p>
          <w:bookmarkEnd w:id="60"/>
        </w:tc>
      </w:tr>
    </w:tbl>
    <w:bookmarkEnd w:id="61"/>
    <w:bookmarkStart w:id="66"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65" w:name="fig-supp-ground-cover-treatment"/>
          <w:p>
            <w:pPr>
              <w:pStyle w:val="Compact"/>
              <w:jc w:val="center"/>
            </w:pPr>
            <w:r>
              <w:drawing>
                <wp:inline>
                  <wp:extent cx="5334000" cy="5334000"/>
                  <wp:effectExtent b="0" l="0" r="0" t="0"/>
                  <wp:docPr descr="" title="" id="63" name="Picture"/>
                  <a:graphic>
                    <a:graphicData uri="http://schemas.openxmlformats.org/drawingml/2006/picture">
                      <pic:pic>
                        <pic:nvPicPr>
                          <pic:cNvPr descr="manuscript_methods_results_files/figure-docx/fig-supp-ground-cover-treatment-1.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Statistical analysis (</w:t>
            </w:r>
            <w:hyperlink w:anchor="tbl-ground-cover-fertilizer-effects">
              <w:r>
                <w:rPr>
                  <w:rStyle w:val="Hyperlink"/>
                </w:rPr>
                <w:t xml:space="preserve">Table 1</w:t>
              </w:r>
            </w:hyperlink>
            <w:r>
              <w:t xml:space="preserve">) confirmed no significant main effect of fertilizer or fertilizer × mission interaction.</w:t>
            </w:r>
          </w:p>
          <w:bookmarkEnd w:id="65"/>
        </w:tc>
      </w:tr>
    </w:tbl>
    <w:bookmarkEnd w:id="66"/>
    <w:bookmarkStart w:id="71"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70" w:name="fig-supp-temperature-mission"/>
          <w:p>
            <w:pPr>
              <w:pStyle w:val="Compact"/>
              <w:jc w:val="center"/>
            </w:pPr>
            <w:r>
              <w:drawing>
                <wp:inline>
                  <wp:extent cx="5334000" cy="5334000"/>
                  <wp:effectExtent b="0" l="0" r="0" t="0"/>
                  <wp:docPr descr="" title="" id="68" name="Picture"/>
                  <a:graphic>
                    <a:graphicData uri="http://schemas.openxmlformats.org/drawingml/2006/picture">
                      <pic:pic>
                        <pic:nvPicPr>
                          <pic:cNvPr descr="manuscript_methods_results_files/figure-docx/fig-supp-temperature-mission-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70"/>
        </w:tc>
      </w:tr>
    </w:tbl>
    <w:bookmarkEnd w:id="71"/>
    <w:bookmarkEnd w:id="72"/>
    <w:bookmarkStart w:id="124" w:name="supplementary-tables"/>
    <w:p>
      <w:pPr>
        <w:pStyle w:val="Heading1"/>
      </w:pPr>
      <w:r>
        <w:t xml:space="preserve">4. Supplementary Tables</w:t>
      </w:r>
    </w:p>
    <w:bookmarkStart w:id="74" w:name="X7ec7cdef0213c48ef8c0e20174b4a0090d7f589"/>
    <w:p>
      <w:pPr>
        <w:pStyle w:val="Heading2"/>
      </w:pPr>
      <w:r>
        <w:t xml:space="preserve">4.1 ground cover model summary by fertilizer treatment, mission, and region</w:t>
      </w:r>
    </w:p>
    <w:tbl>
      <w:tblPr>
        <w:tblStyle w:val="Table"/>
        <w:tblW w:type="pct" w:w="5000"/>
        <w:tblLayout w:type="fixed"/>
        <w:tblLook w:firstRow="0" w:lastRow="0" w:firstColumn="0" w:lastColumn="0" w:noHBand="0" w:noVBand="0" w:val="0000"/>
      </w:tblPr>
      <w:tblGrid>
        <w:gridCol w:w="7920"/>
      </w:tblGrid>
      <w:tr>
        <w:tc>
          <w:tcPr/>
          <w:bookmarkStart w:id="73" w:name="tbl-ground-cover-fertilizer-effects"/>
          <w:p>
            <w:pPr>
              <w:jc w:val="center"/>
            </w:pPr>
            <w:pPr>
              <w:jc w:val="left"/>
              <w:spacing w:before="200"/>
              <w:pStyle w:val="ImageCaption"/>
            </w:pPr>
            <w:r>
              <w:t xml:space="preserve">Table 1: Model summary for ground cover by fertilizer treatment, mission, and region. Generalized linear mixed model (GLMM) with Gaussian family distribution. Fixed effects include fertilizer treatment, mission, region, and the fertilizer × mission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Ground Cover ~ Fertilizer × Mission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sd__Observation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0.183</w:t>
                  </w:r>
                </w:p>
              </w:tc>
            </w:tr>
          </w:tbl>
          <w:bookmarkEnd w:id="73"/>
        </w:tc>
      </w:tr>
    </w:tbl>
    <w:bookmarkEnd w:id="74"/>
    <w:bookmarkStart w:id="79" w:name="grasshopper-density-analysis-tables"/>
    <w:p>
      <w:pPr>
        <w:pStyle w:val="Heading2"/>
      </w:pPr>
      <w:r>
        <w:t xml:space="preserve">4.2 grasshopper Density Analysis Tables</w:t>
      </w:r>
    </w:p>
    <w:bookmarkStart w:id="76" w:name="model-summaries-by-mission"/>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75" w:name="tbl-ose-density-models"/>
          <w:p>
            <w:pPr>
              <w:jc w:val="center"/>
            </w:pPr>
            <w:pPr>
              <w:jc w:val="left"/>
              <w:spacing w:before="200"/>
              <w:pStyle w:val="ImageCaption"/>
            </w:pPr>
            <w:r>
              <w:t xml:space="preserve">Table 2: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5"/>
        </w:tc>
      </w:tr>
    </w:tbl>
    <w:bookmarkEnd w:id="76"/>
    <w:bookmarkStart w:id="78" w:name="pairwise-comparisons-by-mission"/>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77" w:name="tbl-ose-density-pairwise"/>
          <w:p>
            <w:pPr>
              <w:jc w:val="center"/>
            </w:pPr>
            <w:pPr>
              <w:jc w:val="left"/>
              <w:spacing w:before="200"/>
              <w:pStyle w:val="ImageCaption"/>
            </w:pPr>
            <w:r>
              <w:t xml:space="preserve">Table 3: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77"/>
        </w:tc>
      </w:tr>
    </w:tbl>
    <w:bookmarkEnd w:id="78"/>
    <w:bookmarkEnd w:id="79"/>
    <w:bookmarkStart w:id="84" w:name="grasshopper-damage-analysis-tables"/>
    <w:p>
      <w:pPr>
        <w:pStyle w:val="Heading2"/>
      </w:pPr>
      <w:r>
        <w:t xml:space="preserve">4.3 Grasshopper Damage Analysis Tables</w:t>
      </w:r>
    </w:p>
    <w:bookmarkStart w:id="81" w:name="model-summaries-by-mission-1"/>
    <w:p>
      <w:pPr>
        <w:pStyle w:val="Heading3"/>
      </w:pPr>
      <w:r>
        <w:t xml:space="preserve">4.3.1 Model Summaries by Mission</w:t>
      </w:r>
    </w:p>
    <w:tbl>
      <w:tblPr>
        <w:tblStyle w:val="Table"/>
        <w:tblW w:type="pct" w:w="5000"/>
        <w:tblLayout w:type="fixed"/>
        <w:tblLook w:firstRow="0" w:lastRow="0" w:firstColumn="0" w:lastColumn="0" w:noHBand="0" w:noVBand="0" w:val="0000"/>
      </w:tblPr>
      <w:tblGrid>
        <w:gridCol w:w="7920"/>
      </w:tblGrid>
      <w:tr>
        <w:tc>
          <w:tcPr/>
          <w:bookmarkStart w:id="80" w:name="tbl-ose-damage-models"/>
          <w:p>
            <w:pPr>
              <w:jc w:val="center"/>
            </w:pPr>
            <w:pPr>
              <w:jc w:val="left"/>
              <w:spacing w:before="200"/>
              <w:pStyle w:val="ImageCaption"/>
            </w:pPr>
            <w:r>
              <w:t xml:space="preserve">Table 4: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80"/>
        </w:tc>
      </w:tr>
    </w:tbl>
    <w:bookmarkEnd w:id="81"/>
    <w:bookmarkStart w:id="83" w:name="pairwise-comparisons-by-mission-1"/>
    <w:p>
      <w:pPr>
        <w:pStyle w:val="Heading3"/>
      </w:pPr>
      <w:r>
        <w:t xml:space="preserve">4.3.2 Pairwise Comparisons by Mission</w:t>
      </w:r>
    </w:p>
    <w:tbl>
      <w:tblPr>
        <w:tblStyle w:val="Table"/>
        <w:tblW w:type="pct" w:w="5000"/>
        <w:tblLayout w:type="fixed"/>
        <w:tblLook w:firstRow="0" w:lastRow="0" w:firstColumn="0" w:lastColumn="0" w:noHBand="0" w:noVBand="0" w:val="0000"/>
      </w:tblPr>
      <w:tblGrid>
        <w:gridCol w:w="7920"/>
      </w:tblGrid>
      <w:tr>
        <w:tc>
          <w:tcPr/>
          <w:bookmarkStart w:id="82" w:name="tbl-ose-damage-pairwise"/>
          <w:p>
            <w:pPr>
              <w:jc w:val="center"/>
            </w:pPr>
            <w:pPr>
              <w:jc w:val="left"/>
              <w:spacing w:before="200"/>
              <w:pStyle w:val="ImageCaption"/>
            </w:pPr>
            <w:r>
              <w:t xml:space="preserve">Table 5: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2"/>
        </w:tc>
      </w:tr>
    </w:tbl>
    <w:bookmarkEnd w:id="83"/>
    <w:bookmarkEnd w:id="84"/>
    <w:bookmarkStart w:id="89" w:name="millet-yield-analysis-tables"/>
    <w:p>
      <w:pPr>
        <w:pStyle w:val="Heading2"/>
      </w:pPr>
      <w:r>
        <w:t xml:space="preserve">4.4 Millet Yield Analysis Tables</w:t>
      </w:r>
    </w:p>
    <w:bookmarkStart w:id="86" w:name="model-summary"/>
    <w:p>
      <w:pPr>
        <w:pStyle w:val="Heading3"/>
      </w:pPr>
      <w:r>
        <w:t xml:space="preserve">4.4.1 Model Summary</w:t>
      </w:r>
    </w:p>
    <w:tbl>
      <w:tblPr>
        <w:tblStyle w:val="Table"/>
        <w:tblW w:type="pct" w:w="5000"/>
        <w:tblLayout w:type="fixed"/>
        <w:tblLook w:firstRow="0" w:lastRow="0" w:firstColumn="0" w:lastColumn="0" w:noHBand="0" w:noVBand="0" w:val="0000"/>
      </w:tblPr>
      <w:tblGrid>
        <w:gridCol w:w="7920"/>
      </w:tblGrid>
      <w:tr>
        <w:tc>
          <w:tcPr/>
          <w:bookmarkStart w:id="85" w:name="tbl-yield-model"/>
          <w:p>
            <w:pPr>
              <w:jc w:val="center"/>
            </w:pPr>
            <w:pPr>
              <w:jc w:val="left"/>
              <w:spacing w:before="200"/>
              <w:pStyle w:val="ImageCaption"/>
            </w:pPr>
            <w:r>
              <w:t xml:space="preserve">Table 6: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5"/>
        </w:tc>
      </w:tr>
    </w:tbl>
    <w:bookmarkEnd w:id="86"/>
    <w:bookmarkStart w:id="88" w:name="pairwise-comparisons"/>
    <w:p>
      <w:pPr>
        <w:pStyle w:val="Heading3"/>
      </w:pPr>
      <w:r>
        <w:t xml:space="preserve">4.4.2 Pairwise Comparisons</w:t>
      </w:r>
    </w:p>
    <w:tbl>
      <w:tblPr>
        <w:tblStyle w:val="Table"/>
        <w:tblW w:type="pct" w:w="5000"/>
        <w:tblLayout w:type="fixed"/>
        <w:tblLook w:firstRow="0" w:lastRow="0" w:firstColumn="0" w:lastColumn="0" w:noHBand="0" w:noVBand="0" w:val="0000"/>
      </w:tblPr>
      <w:tblGrid>
        <w:gridCol w:w="7920"/>
      </w:tblGrid>
      <w:tr>
        <w:tc>
          <w:tcPr/>
          <w:bookmarkStart w:id="87" w:name="tbl-yield-pairwise"/>
          <w:p>
            <w:pPr>
              <w:jc w:val="center"/>
            </w:pPr>
            <w:pPr>
              <w:jc w:val="left"/>
              <w:spacing w:before="200"/>
              <w:pStyle w:val="ImageCaption"/>
            </w:pPr>
            <w:r>
              <w:t xml:space="preserve">Table 7: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4.914e-01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4.153e-01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9.335e-01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8.893e-01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7"/>
        </w:tc>
      </w:tr>
    </w:tbl>
    <w:bookmarkEnd w:id="88"/>
    <w:bookmarkEnd w:id="89"/>
    <w:bookmarkStart w:id="91" w:name="ground-cover-mediation-analysis-tables"/>
    <w:p>
      <w:pPr>
        <w:pStyle w:val="Heading2"/>
      </w:pPr>
      <w:r>
        <w:t xml:space="preserve">4.5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90" w:name="tbl-ground-cover-unified"/>
          <w:p>
            <w:pPr>
              <w:jc w:val="center"/>
            </w:pPr>
            <w:pPr>
              <w:jc w:val="left"/>
              <w:spacing w:before="200"/>
              <w:pStyle w:val="ImageCaption"/>
            </w:pPr>
            <w:r>
              <w:t xml:space="preserve">Table 8: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2.642169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104.633158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r>
              <w:trPr>
                <w:cantSplit/>
              </w:trPr>
              <w:tc>
                <w:tcPr>
                  <w:gridSpan w:val="7"/>
                </w:tcPr>
                <w:p>
                  <w:pPr>
                    <w:spacing w:before="0" w:after="60"/>
                    <w:keepNext/>
                  </w:pPr>
                  <w:r>
                    <w:rPr>
                      <w:rFonts w:ascii="Calibri" w:hAnsi="Calibri"/>
                      <w:sz w:val="20"/>
                    </w:rPr>
                    <w:t xml:space="preserve">Model deviance explained: 60%</w:t>
                  </w:r>
                </w:p>
              </w:tc>
            </w:tr>
          </w:tbl>
          <w:bookmarkEnd w:id="90"/>
        </w:tc>
      </w:tr>
    </w:tbl>
    <w:bookmarkEnd w:id="91"/>
    <w:bookmarkStart w:id="93" w:name="temperature-analysis-table"/>
    <w:p>
      <w:pPr>
        <w:pStyle w:val="Heading2"/>
      </w:pPr>
      <w:r>
        <w:t xml:space="preserve">4.6 Temperature Analysis Table</w:t>
      </w:r>
    </w:p>
    <w:tbl>
      <w:tblPr>
        <w:tblStyle w:val="Table"/>
        <w:tblW w:type="pct" w:w="5000"/>
        <w:tblLayout w:type="fixed"/>
        <w:tblLook w:firstRow="0" w:lastRow="0" w:firstColumn="0" w:lastColumn="0" w:noHBand="0" w:noVBand="0" w:val="0000"/>
      </w:tblPr>
      <w:tblGrid>
        <w:gridCol w:w="7920"/>
      </w:tblGrid>
      <w:tr>
        <w:tc>
          <w:tcPr/>
          <w:bookmarkStart w:id="92" w:name="tbl-temperature-model"/>
          <w:p>
            <w:pPr>
              <w:jc w:val="center"/>
            </w:pPr>
            <w:pPr>
              <w:jc w:val="left"/>
              <w:spacing w:before="200"/>
              <w:pStyle w:val="ImageCaption"/>
            </w:pPr>
            <w:r>
              <w:t xml:space="preserve">Table 9: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s(temperature,region)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0.893</w:t>
                  </w:r>
                </w:p>
              </w:tc>
            </w:tr>
            <w:tr>
              <w:trPr>
                <w:cantSplit/>
              </w:trPr>
              <w:tc>
                <w:tcPr>
                  <w:gridSpan w:val="5"/>
                </w:tcPr>
                <w:p>
                  <w:pPr>
                    <w:spacing w:before="0" w:after="60"/>
                    <w:keepNext/>
                  </w:pPr>
                  <w:r>
                    <w:rPr>
                      <w:rFonts w:ascii="Calibri" w:hAnsi="Calibri"/>
                      <w:sz w:val="20"/>
                    </w:rPr>
                    <w:t xml:space="preserve">Model deviance explained: 34.4%. Analysis restricted to control plots only.</w:t>
                  </w:r>
                </w:p>
              </w:tc>
            </w:tr>
          </w:tbl>
          <w:bookmarkEnd w:id="92"/>
        </w:tc>
      </w:tr>
    </w:tbl>
    <w:bookmarkEnd w:id="93"/>
    <w:bookmarkStart w:id="123" w:name="model-summary-table"/>
    <w:p>
      <w:pPr>
        <w:pStyle w:val="Heading2"/>
      </w:pPr>
      <w:r>
        <w:t xml:space="preserve">4.7 Model Summary Table</w:t>
      </w:r>
    </w:p>
    <w:tbl>
      <w:tblPr>
        <w:tblStyle w:val="Table"/>
        <w:tblW w:type="pct" w:w="5000"/>
        <w:tblLayout w:type="fixed"/>
        <w:tblLook w:firstRow="0" w:lastRow="0" w:firstColumn="0" w:lastColumn="0" w:noHBand="0" w:noVBand="0" w:val="0000"/>
      </w:tblPr>
      <w:tblGrid>
        <w:gridCol w:w="7920"/>
      </w:tblGrid>
      <w:tr>
        <w:tc>
          <w:tcPr/>
          <w:bookmarkStart w:id="94" w:name="tbl-model-summary"/>
          <w:p>
            <w:pPr>
              <w:jc w:val="center"/>
            </w:pPr>
            <w:pPr>
              <w:jc w:val="left"/>
              <w:spacing w:before="200"/>
              <w:pStyle w:val="ImageCaption"/>
            </w:pPr>
            <w:r>
              <w:t xml:space="preserve">Table 10: Summary of all statistical models used in the analysis. For each model, the table shows the response variable, statistical family, random effects structure, and sample size (number of observations).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All Statistical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Response Variable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Statistical Family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Random Effects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Sample Size (n)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Millet Yield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Yield (kg/ha)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Mediation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s(farmer,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 Fertilizer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Gaussian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Effects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s(region, bs='re'); Farmer s(farmer, bs='re'); Mission s(mission_number,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w:t>
                  </w:r>
                </w:p>
              </w:tc>
            </w:tr>
            <w:tr>
              <w:trPr>
                <w:cantSplit/>
              </w:trPr>
              <w:tc>
                <w:tcPr>
                  <w:gridSpan w:val="5"/>
                </w:tcPr>
                <w:p>
                  <w:pPr>
                    <w:spacing w:before="0" w:after="60"/>
                    <w:keepNext/>
                  </w:pPr>
                  <w:r>
                    <w:rPr>
                      <w:b w:val="true"/>
                      <w:rFonts w:ascii="Calibri" w:hAnsi="Calibri"/>
                      <w:sz w:val="20"/>
                    </w:rPr>
                    <w:t xml:space="preserve">Note:</w:t>
                  </w:r>
                  <w:r>
                    <w:rPr>
                      <w:rFonts w:ascii="Calibri" w:hAnsi="Calibri"/>
                      <w:sz w:val="20"/>
                    </w:rPr>
                    <w:t xml:space="preserve"> All models include fixed effects for fertilizer treatment and region (and their interaction where applicable). Density models used separate analyses for each mission. GAM models used smooth terms s() with re (random effect) basis for random effects; GLMM models used standard random intercept notation (1|farmer).</w:t>
                  </w:r>
                </w:p>
              </w:tc>
            </w:tr>
          </w:tbl>
          <w:bookmarkEnd w:id="94"/>
        </w:tc>
      </w:tr>
    </w:tbl>
    <w:bookmarkStart w:id="122" w:name="refs"/>
    <w:bookmarkStart w:id="96" w:name="ref-brooks2017glmmtmb"/>
    <w:p>
      <w:pPr>
        <w:pStyle w:val="Bibliography"/>
      </w:pPr>
      <w:r>
        <w:t xml:space="preserve">Brooks, Mollie E., Kasper Kristensen, Koen J. van Benthem, et al.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95">
        <w:r>
          <w:rPr>
            <w:rStyle w:val="Hyperlink"/>
          </w:rPr>
          <w:t xml:space="preserve">https://doi.org/10.32614/RJ-2017-066</w:t>
        </w:r>
      </w:hyperlink>
      <w:r>
        <w:t xml:space="preserve">.</w:t>
      </w:r>
    </w:p>
    <w:bookmarkEnd w:id="96"/>
    <w:bookmarkStart w:id="98" w:name="ref-funk2015climate"/>
    <w:p>
      <w:pPr>
        <w:pStyle w:val="Bibliography"/>
      </w:pPr>
      <w:r>
        <w:t xml:space="preserve">Funk, C., P. Peterson, M. Landsfeld,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97">
        <w:r>
          <w:rPr>
            <w:rStyle w:val="Hyperlink"/>
          </w:rPr>
          <w:t xml:space="preserve">https://doi.org/10.1038/sdata.2015.66</w:t>
        </w:r>
      </w:hyperlink>
      <w:r>
        <w:t xml:space="preserve">.</w:t>
      </w:r>
    </w:p>
    <w:bookmarkEnd w:id="98"/>
    <w:bookmarkStart w:id="100"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99">
        <w:r>
          <w:rPr>
            <w:rStyle w:val="Hyperlink"/>
          </w:rPr>
          <w:t xml:space="preserve">https://doi.org/10.1016/j.rse.2017.06.031</w:t>
        </w:r>
      </w:hyperlink>
      <w:r>
        <w:t xml:space="preserve">.</w:t>
      </w:r>
    </w:p>
    <w:bookmarkEnd w:id="100"/>
    <w:bookmarkStart w:id="102"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101">
        <w:r>
          <w:rPr>
            <w:rStyle w:val="Hyperlink"/>
          </w:rPr>
          <w:t xml:space="preserve">https://CRAN.R-project.org/package=DHARMa</w:t>
        </w:r>
      </w:hyperlink>
      <w:r>
        <w:t xml:space="preserve">.</w:t>
      </w:r>
    </w:p>
    <w:bookmarkEnd w:id="102"/>
    <w:bookmarkStart w:id="104"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03">
        <w:r>
          <w:rPr>
            <w:rStyle w:val="Hyperlink"/>
          </w:rPr>
          <w:t xml:space="preserve">https://doi.org/10.21105/joss.05751</w:t>
        </w:r>
      </w:hyperlink>
      <w:r>
        <w:t xml:space="preserve">.</w:t>
      </w:r>
    </w:p>
    <w:bookmarkEnd w:id="104"/>
    <w:bookmarkStart w:id="106"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05">
        <w:r>
          <w:rPr>
            <w:rStyle w:val="Hyperlink"/>
          </w:rPr>
          <w:t xml:space="preserve">https://rspatial.org/</w:t>
        </w:r>
      </w:hyperlink>
      <w:r>
        <w:t xml:space="preserve">.</w:t>
      </w:r>
    </w:p>
    <w:bookmarkEnd w:id="106"/>
    <w:bookmarkStart w:id="108"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07">
        <w:r>
          <w:rPr>
            <w:rStyle w:val="Hyperlink"/>
          </w:rPr>
          <w:t xml:space="preserve">https://rvlenth.github.io/emmeans/</w:t>
        </w:r>
      </w:hyperlink>
      <w:r>
        <w:t xml:space="preserve">.</w:t>
      </w:r>
    </w:p>
    <w:bookmarkEnd w:id="108"/>
    <w:bookmarkStart w:id="110"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09">
        <w:r>
          <w:rPr>
            <w:rStyle w:val="Hyperlink"/>
          </w:rPr>
          <w:t xml:space="preserve">https://docs.ropensci.org/rnaturalearth/</w:t>
        </w:r>
      </w:hyperlink>
      <w:r>
        <w:t xml:space="preserve">.</w:t>
      </w:r>
    </w:p>
    <w:bookmarkEnd w:id="110"/>
    <w:bookmarkStart w:id="112"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11">
        <w:r>
          <w:rPr>
            <w:rStyle w:val="Hyperlink"/>
          </w:rPr>
          <w:t xml:space="preserve">https://doi.org/10.18637/jss.v112.i01</w:t>
        </w:r>
      </w:hyperlink>
      <w:r>
        <w:t xml:space="preserve">.</w:t>
      </w:r>
    </w:p>
    <w:bookmarkEnd w:id="112"/>
    <w:bookmarkStart w:id="114"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13">
        <w:r>
          <w:rPr>
            <w:rStyle w:val="Hyperlink"/>
          </w:rPr>
          <w:t xml:space="preserve">https://doi.org/10.21105/joss.06962</w:t>
        </w:r>
      </w:hyperlink>
      <w:r>
        <w:t xml:space="preserve">.</w:t>
      </w:r>
    </w:p>
    <w:bookmarkEnd w:id="114"/>
    <w:bookmarkStart w:id="116"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5">
        <w:r>
          <w:rPr>
            <w:rStyle w:val="Hyperlink"/>
          </w:rPr>
          <w:t xml:space="preserve">https://ggplot2.tidyverse.org</w:t>
        </w:r>
      </w:hyperlink>
      <w:r>
        <w:t xml:space="preserve">.</w:t>
      </w:r>
    </w:p>
    <w:bookmarkEnd w:id="116"/>
    <w:bookmarkStart w:id="118" w:name="ref-wickham2019tidyverse"/>
    <w:p>
      <w:pPr>
        <w:pStyle w:val="Bibliography"/>
      </w:pPr>
      <w:r>
        <w:t xml:space="preserve">Wickham, Hadley, Mara Averick, Jennifer Bryan,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17">
        <w:r>
          <w:rPr>
            <w:rStyle w:val="Hyperlink"/>
          </w:rPr>
          <w:t xml:space="preserve">https://doi.org/10.21105/joss.01686</w:t>
        </w:r>
      </w:hyperlink>
      <w:r>
        <w:t xml:space="preserve">.</w:t>
      </w:r>
    </w:p>
    <w:bookmarkEnd w:id="118"/>
    <w:bookmarkStart w:id="119"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19"/>
    <w:bookmarkStart w:id="120" w:name="ref-wood2011fast"/>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20"/>
    <w:bookmarkStart w:id="121" w:name="ref-wood2017generalized"/>
    <w:p>
      <w:pPr>
        <w:pStyle w:val="Bibliography"/>
      </w:pPr>
      <w:r>
        <w:t xml:space="preserve">Wood, S. N. 2017.</w:t>
      </w:r>
      <w:r>
        <w:t xml:space="preserve"> </w:t>
      </w:r>
      <w:r>
        <w:rPr>
          <w:i/>
          <w:iCs/>
        </w:rPr>
        <w:t xml:space="preserve">Generalized Additive Models: An Introduction with r</w:t>
      </w:r>
      <w:r>
        <w:t xml:space="preserve">. 2nd ed. Chapman; Hall/CRC.</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2026-09-10T20:53:36Z</dcterms:created>
  <dcterms:modified xsi:type="dcterms:W3CDTF">2026-09-10T20:53:36Z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2026-09-10</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Effects of fertilizer treatment on Senegalese grasshopper (Oedaleus senegalensis) density, crop damage, and millet yield</vt:lpwstr>
  </property>
  <property fmtid="{D5CDD505-2E9C-101B-9397-08002B2CF9AE}" pid="13" name="toc-title">
    <vt:lpwstr>Table of contents</vt:lpwstr>
  </property>
</Properties>
</file>