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1.png" ContentType="image/png"/>
  <Override PartName="/word/media/rId26.png" ContentType="image/png"/>
  <Override PartName="/word/media/rId30.png" ContentType="image/png"/>
  <Override PartName="/word/media/rId41.png" ContentType="image/png"/>
  <Override PartName="/word/media/rId36.png" ContentType="image/png"/>
  <Override PartName="/word/media/rId62.png" ContentType="image/png"/>
  <Override PartName="/word/media/rId57.png" ContentType="image/png"/>
  <Override PartName="/word/media/rId67.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Methods and Results for grasshopper Range Analysis</w:t>
      </w:r>
    </w:p>
    <w:p>
      <w:pPr>
        <w:pStyle w:val="Subtitle"/>
      </w:pPr>
      <w:r>
        <w:t xml:space="preserve">Effects of fertilizer treatment on Senegalese grasshopper (</w:t>
      </w:r>
      <w:r>
        <w:rPr>
          <w:i/>
          <w:iCs/>
        </w:rPr>
        <w:t xml:space="preserve">Oedaleus senegalensis</w:t>
      </w:r>
      <w:r>
        <w:t xml:space="preserve">) density, crop damage, and millet yield</w:t>
      </w:r>
    </w:p>
    <w:p>
      <w:pPr>
        <w:pStyle w:val="Date"/>
      </w:pPr>
      <w:r>
        <w:t xml:space="preserve">2026-09-10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statistical-analyses"/>
    <w:p>
      <w:pPr>
        <w:pStyle w:val="Heading1"/>
      </w:pPr>
      <w:r>
        <w:t xml:space="preserve">1. Statistical analyses</w:t>
      </w:r>
    </w:p>
    <w:bookmarkStart w:id="10" w:name="X508921ab544f8df5320df222d4d0b65ac7e9cfd"/>
    <w:p>
      <w:pPr>
        <w:pStyle w:val="Heading2"/>
      </w:pPr>
      <w:r>
        <w:t xml:space="preserve">1.1 General statistical and programatic approach</w:t>
      </w:r>
    </w:p>
    <w:p>
      <w:pPr>
        <w:pStyle w:val="FirstParagraph"/>
      </w:pPr>
      <w:r>
        <w:t xml:space="preserve">All statistics were conducted in R version 4.5.2 (2025-10-31) (R Core Team, 2024) using generalized additive mixed models (GAMMs) and generalized linear mixed models (GLMMs) implemented with</w:t>
      </w:r>
      <w:r>
        <w:t xml:space="preserve"> </w:t>
      </w:r>
      <w:r>
        <w:rPr>
          <w:rStyle w:val="VerbatimChar"/>
        </w:rPr>
        <w:t xml:space="preserve">mgcv</w:t>
      </w:r>
      <w:r>
        <w:t xml:space="preserve"> </w:t>
      </w:r>
      <w:r>
        <w:t xml:space="preserve">(Wood 2017, 2011, 2004)</w:t>
      </w:r>
      <w:r>
        <w:t xml:space="preserve"> </w:t>
      </w:r>
      <w:r>
        <w:t xml:space="preserve">and</w:t>
      </w:r>
      <w:r>
        <w:t xml:space="preserve"> </w:t>
      </w:r>
      <w:r>
        <w:rPr>
          <w:rStyle w:val="VerbatimChar"/>
        </w:rPr>
        <w:t xml:space="preserve">glmmTMB</w:t>
      </w:r>
      <w:r>
        <w:t xml:space="preserve"> </w:t>
      </w:r>
      <w:r>
        <w:t xml:space="preserve">(Brooks et al. 2017; McGillycuddy et al. 2025)</w:t>
      </w:r>
      <w:r>
        <w:t xml:space="preserve"> </w:t>
      </w:r>
      <w:r>
        <w:t xml:space="preserve">packages, respectively. Models were appriased/validated using</w:t>
      </w:r>
      <w:r>
        <w:t xml:space="preserve"> </w:t>
      </w:r>
      <w:r>
        <w:rPr>
          <w:rStyle w:val="VerbatimChar"/>
        </w:rPr>
        <w:t xml:space="preserve">DHARMa</w:t>
      </w:r>
      <w:r>
        <w:t xml:space="preserve"> </w:t>
      </w:r>
      <w:r>
        <w:t xml:space="preserve">(Hartig 2024)</w:t>
      </w:r>
      <w:r>
        <w:t xml:space="preserve"> </w:t>
      </w:r>
      <w:r>
        <w:t xml:space="preserve">and</w:t>
      </w:r>
      <w:r>
        <w:t xml:space="preserve"> </w:t>
      </w:r>
      <w:r>
        <w:rPr>
          <w:rStyle w:val="VerbatimChar"/>
        </w:rPr>
        <w:t xml:space="preserve">gratia</w:t>
      </w:r>
      <w:r>
        <w:t xml:space="preserve"> </w:t>
      </w:r>
      <w:r>
        <w:t xml:space="preserve">(Simpson 2024)</w:t>
      </w:r>
      <w:r>
        <w:t xml:space="preserve">. Model selection when needed was done using AIC. Estimated marginal means and pairwise comparisons were calculated using the</w:t>
      </w:r>
      <w:r>
        <w:t xml:space="preserve"> </w:t>
      </w:r>
      <w:r>
        <w:rPr>
          <w:rStyle w:val="VerbatimChar"/>
        </w:rPr>
        <w:t xml:space="preserve">emmeans</w:t>
      </w:r>
      <w:r>
        <w:t xml:space="preserve"> </w:t>
      </w:r>
      <w:r>
        <w:t xml:space="preserve">package</w:t>
      </w:r>
      <w:r>
        <w:t xml:space="preserve"> </w:t>
      </w:r>
      <w:r>
        <w:t xml:space="preserve">(Lenth and Piaskowski 2025)</w:t>
      </w:r>
      <w:r>
        <w:t xml:space="preserve">. Data visualization was performed using the</w:t>
      </w:r>
      <w:r>
        <w:t xml:space="preserve"> </w:t>
      </w:r>
      <w:r>
        <w:rPr>
          <w:rStyle w:val="VerbatimChar"/>
        </w:rPr>
        <w:t xml:space="preserve">ggplot2</w:t>
      </w:r>
      <w:r>
        <w:t xml:space="preserve"> </w:t>
      </w:r>
      <w:r>
        <w:t xml:space="preserve">package</w:t>
      </w:r>
      <w:r>
        <w:t xml:space="preserve"> </w:t>
      </w:r>
      <w:r>
        <w:t xml:space="preserve">(Wickham 2016)</w:t>
      </w:r>
      <w:r>
        <w:t xml:space="preserve"> </w:t>
      </w:r>
      <w:r>
        <w:t xml:space="preserve">along with extensions from the</w:t>
      </w:r>
      <w:r>
        <w:t xml:space="preserve"> </w:t>
      </w:r>
      <w:r>
        <w:rPr>
          <w:rStyle w:val="VerbatimChar"/>
        </w:rPr>
        <w:t xml:space="preserve">tidyverse</w:t>
      </w:r>
      <w:r>
        <w:t xml:space="preserve"> </w:t>
      </w:r>
      <w:r>
        <w:t xml:space="preserve">suite of packages</w:t>
      </w:r>
      <w:r>
        <w:t xml:space="preserve"> </w:t>
      </w:r>
      <w:r>
        <w:t xml:space="preserve">(Wickham et al. 2019)</w:t>
      </w:r>
      <w:r>
        <w:t xml:space="preserve">. All code and data are versioned on github at:</w:t>
      </w:r>
      <w:r>
        <w:t xml:space="preserve"> </w:t>
      </w:r>
      <w:hyperlink r:id="rId9">
        <w:r>
          <w:rPr>
            <w:rStyle w:val="Hyperlink"/>
          </w:rPr>
          <w:t xml:space="preserve">github.com/ddlawton/OSE-Range-Analysis</w:t>
        </w:r>
      </w:hyperlink>
      <w:r>
        <w:t xml:space="preserve">. Upon publication a github archive snapshot will be created and stored in Zenodo for reproducibility with a DOI and citation.</w:t>
      </w:r>
    </w:p>
    <w:p>
      <w:pPr>
        <w:pStyle w:val="BodyText"/>
      </w:pPr>
      <w:r>
        <w:t xml:space="preserve">Throughout this manuscript, significance is denoted using asterisks: *** p &lt; 0.001, ** p &lt; 0.01, * p &lt; 0.05.</w:t>
      </w:r>
    </w:p>
    <w:bookmarkEnd w:id="10"/>
    <w:bookmarkStart w:id="11" w:name="overall-and-mean-monthly-map-generation"/>
    <w:p>
      <w:pPr>
        <w:pStyle w:val="Heading2"/>
      </w:pPr>
      <w:r>
        <w:t xml:space="preserve">1.2 Overall and mean monthly map generation</w:t>
      </w:r>
    </w:p>
    <w:p>
      <w:pPr>
        <w:pStyle w:val="FirstParagraph"/>
      </w:pPr>
      <w:r>
        <w:t xml:space="preserve">Maps of mean annual precipitation (MAP) and monthly rainfall patterns were generated using Climate Hazards Center Infrared Precipitation with Stations (CHIRPS) data</w:t>
      </w:r>
      <w:r>
        <w:t xml:space="preserve"> </w:t>
      </w:r>
      <w:r>
        <w:t xml:space="preserve">(Funk et al. 2015)</w:t>
      </w:r>
      <w:r>
        <w:t xml:space="preserve"> </w:t>
      </w:r>
      <w:r>
        <w:t xml:space="preserve">processed in Google Earth Engine</w:t>
      </w:r>
      <w:r>
        <w:t xml:space="preserve"> </w:t>
      </w:r>
      <w:r>
        <w:t xml:space="preserve">(Gorelick et al. 2017)</w:t>
      </w:r>
      <w:r>
        <w:t xml:space="preserve"> </w:t>
      </w:r>
      <w:r>
        <w:t xml:space="preserve">and imported into</w:t>
      </w:r>
      <w:r>
        <w:t xml:space="preserve"> </w:t>
      </w:r>
      <w:r>
        <w:rPr>
          <w:rStyle w:val="VerbatimChar"/>
        </w:rPr>
        <w:t xml:space="preserve">R</w:t>
      </w:r>
      <w:r>
        <w:t xml:space="preserve"> </w:t>
      </w:r>
      <w:r>
        <w:t xml:space="preserve">for visualization with the</w:t>
      </w:r>
      <w:r>
        <w:t xml:space="preserve"> </w:t>
      </w:r>
      <w:r>
        <w:rPr>
          <w:rStyle w:val="VerbatimChar"/>
        </w:rPr>
        <w:t xml:space="preserve">terra</w:t>
      </w:r>
      <w:r>
        <w:t xml:space="preserve"> </w:t>
      </w:r>
      <w:r>
        <w:t xml:space="preserve">(Hijmans 2025)</w:t>
      </w:r>
      <w:r>
        <w:t xml:space="preserve"> </w:t>
      </w:r>
      <w:r>
        <w:t xml:space="preserve">and</w:t>
      </w:r>
      <w:r>
        <w:t xml:space="preserve"> </w:t>
      </w:r>
      <w:r>
        <w:rPr>
          <w:rStyle w:val="VerbatimChar"/>
        </w:rPr>
        <w:t xml:space="preserve">tidyterra</w:t>
      </w:r>
      <w:r>
        <w:t xml:space="preserve"> </w:t>
      </w:r>
      <w:r>
        <w:t xml:space="preserve">(Hernangómez 2023)</w:t>
      </w:r>
      <w:r>
        <w:t xml:space="preserve"> </w:t>
      </w:r>
      <w:r>
        <w:t xml:space="preserve">packages. Senegal administrative boundaries were obtained from the</w:t>
      </w:r>
      <w:r>
        <w:t xml:space="preserve"> </w:t>
      </w:r>
      <w:r>
        <w:rPr>
          <w:rStyle w:val="VerbatimChar"/>
        </w:rPr>
        <w:t xml:space="preserve">Natural Earth</w:t>
      </w:r>
      <w:r>
        <w:t xml:space="preserve"> </w:t>
      </w:r>
      <w:r>
        <w:t xml:space="preserve">public domain map dataset using the</w:t>
      </w:r>
      <w:r>
        <w:t xml:space="preserve"> </w:t>
      </w:r>
      <w:r>
        <w:rPr>
          <w:rStyle w:val="VerbatimChar"/>
        </w:rPr>
        <w:t xml:space="preserve">rnaturalearth</w:t>
      </w:r>
      <w:r>
        <w:t xml:space="preserve"> </w:t>
      </w:r>
      <w:r>
        <w:t xml:space="preserve">package</w:t>
      </w:r>
      <w:r>
        <w:t xml:space="preserve"> </w:t>
      </w:r>
      <w:r>
        <w:t xml:space="preserve">(Massicotte and South 2025)</w:t>
      </w:r>
      <w:r>
        <w:t xml:space="preserve">.</w:t>
      </w:r>
    </w:p>
    <w:bookmarkEnd w:id="11"/>
    <w:bookmarkStart w:id="12" w:name="locust-density-and-damage-models"/>
    <w:p>
      <w:pPr>
        <w:pStyle w:val="Heading2"/>
      </w:pPr>
      <w:r>
        <w:t xml:space="preserve">1.3 Locust density and damage models</w:t>
      </w:r>
    </w:p>
    <w:p>
      <w:pPr>
        <w:pStyle w:val="FirstParagraph"/>
      </w:pPr>
      <w:r>
        <w:t xml:space="preserve">For both density and damage, separate models were created for each of the three survey missions to assess how effects changed over time relative to the timing of fertilizer application. We specified the models as generalized linear mixed models (GLMMs) with a Poisson family for density and a tweedie family for damage percent. In both cases, we included fertilizer treatment, region, and their interaction as fixed effects, and farmer as a random effect to account for repeated measures since each farmer has a control and fertilized field.</w:t>
      </w:r>
    </w:p>
    <w:p>
      <w:pPr>
        <w:pStyle w:val="BodyText"/>
      </w:pPr>
      <w:r>
        <w:rPr>
          <w:b/>
          <w:bCs/>
        </w:rPr>
        <w:t xml:space="preserve">Data adjustments:</w:t>
      </w:r>
      <w:r>
        <w:t xml:space="preserve"> </w:t>
      </w:r>
      <w:r>
        <w:t xml:space="preserve">The OSE density data (ose_count) received from collaborators had already been adjusted for the proportion of OSE in the total grasshopper population, which is appropriate for density analysis. For damage analysis, we reversed this adjustment to represent total grasshopper damage rather than OSE-specific damage, maintaining consistency with our previous publications. The adjustment used region-specific OSE proportions averaged across missions: Kaffrine = 0.93, Fatick = 0.91, Thies = 0.79, Saint Louis = 0.65.</w:t>
      </w:r>
    </w:p>
    <w:bookmarkEnd w:id="12"/>
    <w:bookmarkStart w:id="13" w:name="millet-yield-model"/>
    <w:p>
      <w:pPr>
        <w:pStyle w:val="Heading2"/>
      </w:pPr>
      <w:r>
        <w:t xml:space="preserve">1.4 Millet yield model</w:t>
      </w:r>
    </w:p>
    <w:p>
      <w:pPr>
        <w:pStyle w:val="FirstParagraph"/>
      </w:pPr>
      <w:r>
        <w:t xml:space="preserve">For millet yield, we specified a GLMM with a tweedie family to account for the continuous, positive, and right-skewed nature of yield data. Like the locust density and damage models, we included fertilizer treatment, region, and their interaction as fixed effects, and farmer as a random effect to account for repeated measures.</w:t>
      </w:r>
    </w:p>
    <w:bookmarkEnd w:id="13"/>
    <w:bookmarkStart w:id="14" w:name="X205c106469135abf34deaa8c256041fe1701487"/>
    <w:p>
      <w:pPr>
        <w:pStyle w:val="Heading2"/>
      </w:pPr>
      <w:r>
        <w:t xml:space="preserve">1.5 Ground cover × fertilizer mediation of grasshopper density</w:t>
      </w:r>
    </w:p>
    <w:p>
      <w:pPr>
        <w:pStyle w:val="FirstParagraph"/>
      </w:pPr>
      <w:r>
        <w:t xml:space="preserve">To test whether the effect of fertilizer on grasshopper density is mediated by ground cover, we fit a unified generalized additive model (GAM) with a Tweedie family to account for overdispersed count data. The model included fertilizer treatment, mission number, their interaction, and region as fixed effects, a random effect for farmer, and, critically, a by-variable smooth term allowing the relationship between ground cover and grasshopper density to vary by fertilizer treatment. Constructing a unified model allowed as to look directly at the mediation effect of ground cover on the fertilizer treatment effect on grasshopper density while accounting for the main effects of fertilizer treamtment and mission.</w:t>
      </w:r>
    </w:p>
    <w:bookmarkEnd w:id="14"/>
    <w:bookmarkEnd w:id="15"/>
    <w:bookmarkStart w:id="56" w:name="results"/>
    <w:p>
      <w:pPr>
        <w:pStyle w:val="Heading1"/>
      </w:pPr>
      <w:r>
        <w:t xml:space="preserve">2. Results</w:t>
      </w:r>
    </w:p>
    <w:bookmarkStart w:id="16" w:name="locust-density-through-space-and-time"/>
    <w:p>
      <w:pPr>
        <w:pStyle w:val="Heading2"/>
      </w:pPr>
      <w:r>
        <w:t xml:space="preserve">2.1 Locust density through space and time</w:t>
      </w:r>
    </w:p>
    <w:p>
      <w:pPr>
        <w:pStyle w:val="FirstParagraph"/>
      </w:pPr>
      <w:r>
        <w:t xml:space="preserve">Temperature at the time of the survey did not affect</w:t>
      </w:r>
      <w:r>
        <w:t xml:space="preserve"> </w:t>
      </w:r>
      <w:r>
        <w:rPr>
          <w:i/>
          <w:iCs/>
        </w:rPr>
        <w:t xml:space="preserve">O. senegalensis</w:t>
      </w:r>
      <w:r>
        <w:t xml:space="preserve"> </w:t>
      </w:r>
      <w:r>
        <w:t xml:space="preserve">density after accounting for region, mission, and farmer (p = ). The full temperature statistical model is in</w:t>
      </w:r>
      <w:r>
        <w:t xml:space="preserve"> </w:t>
      </w:r>
      <w:hyperlink w:anchor="tbl-temperature-model">
        <w:r>
          <w:rPr>
            <w:rStyle w:val="Hyperlink"/>
          </w:rPr>
          <w:t xml:space="preserve">Table 9</w:t>
        </w:r>
      </w:hyperlink>
      <w:r>
        <w:t xml:space="preserve"> </w:t>
      </w:r>
      <w:r>
        <w:t xml:space="preserve">and raw data are shown in</w:t>
      </w:r>
      <w:r>
        <w:t xml:space="preserve"> </w:t>
      </w:r>
      <w:hyperlink w:anchor="fig-supp-temperature-mission">
        <w:r>
          <w:rPr>
            <w:rStyle w:val="Hyperlink"/>
          </w:rPr>
          <w:t xml:space="preserve">Figure 10</w:t>
        </w:r>
      </w:hyperlink>
      <w:r>
        <w:t xml:space="preserve">.</w:t>
      </w:r>
    </w:p>
    <w:bookmarkEnd w:id="16"/>
    <w:bookmarkStart w:id="17" w:name="X1c79f5724c48468fb0f417e52fd9fe0c9d822af"/>
    <w:p>
      <w:pPr>
        <w:pStyle w:val="Heading2"/>
      </w:pPr>
      <w:r>
        <w:t xml:space="preserve">2.2 Locust developmental stages and generations through space and time</w:t>
      </w:r>
    </w:p>
    <w:p>
      <w:pPr>
        <w:pStyle w:val="FirstParagraph"/>
      </w:pPr>
      <w:r>
        <w:t xml:space="preserve">The locust surveys enabled us to identify the developmental stages and likely generations of Oedaleus senegalensis present during each mission (</w:t>
      </w:r>
      <w:r>
        <w:rPr>
          <w:b/>
          <w:bCs/>
        </w:rPr>
        <w:t xml:space="preserve">?@tbl-dev-stages</w:t>
      </w:r>
      <w:r>
        <w:t xml:space="preserve">). We identified three generations (G1, originating from the eggs of the previous season’s last generation, and G2 and G3) in the Thies, Fatick, and Kaffrine regions. In Saint Louis, only the G1 and G2 generations were observed. All developmental stages were identified, from eggs, through nymphal instars (1-5), to adults.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Kaffrine</w:t>
            </w:r>
          </w:p>
        </w:tc>
        <w:tc>
          <w:tcPr/>
          <w:p>
            <w:pPr>
              <w:pStyle w:val="Compact"/>
            </w:pPr>
            <w:r>
              <w:t xml:space="preserve">Thies</w:t>
            </w:r>
          </w:p>
        </w:tc>
        <w:tc>
          <w:tcPr/>
          <w:p>
            <w:pPr>
              <w:pStyle w:val="Compact"/>
            </w:pPr>
            <w:r>
              <w:t xml:space="preserve">Fatick</w:t>
            </w:r>
          </w:p>
        </w:tc>
        <w:tc>
          <w:tcPr/>
          <w:p>
            <w:pPr>
              <w:pStyle w:val="Compact"/>
            </w:pPr>
            <w:r>
              <w:t xml:space="preserve">Saint - Louis</w:t>
            </w:r>
          </w:p>
        </w:tc>
      </w:tr>
      <w:tr>
        <w:tc>
          <w:tcPr/>
          <w:p>
            <w:pPr>
              <w:pStyle w:val="Compact"/>
            </w:pPr>
            <w:r>
              <w:rPr>
                <w:b/>
                <w:bCs/>
              </w:rPr>
              <w:t xml:space="preserve">Mission 1</w:t>
            </w:r>
          </w:p>
        </w:tc>
        <w:tc>
          <w:tcPr/>
          <w:p>
            <w:pPr>
              <w:pStyle w:val="Compact"/>
            </w:pPr>
            <w:r>
              <w:t xml:space="preserve">Jul. 27 - Aug. 3</w:t>
            </w:r>
          </w:p>
        </w:tc>
        <w:tc>
          <w:tcPr/>
          <w:p>
            <w:pPr>
              <w:pStyle w:val="Compact"/>
            </w:pPr>
          </w:p>
        </w:tc>
        <w:tc>
          <w:tcPr/>
          <w:p>
            <w:pPr>
              <w:pStyle w:val="Compact"/>
            </w:pPr>
            <w:r>
              <w:t xml:space="preserve">Aug. 13 - 18</w:t>
            </w:r>
          </w:p>
        </w:tc>
        <w:tc>
          <w:tcPr/>
          <w:p>
            <w:pPr>
              <w:pStyle w:val="Compact"/>
            </w:pPr>
            <w:r>
              <w:t xml:space="preserve">Aug. 15 - 20</w:t>
            </w:r>
          </w:p>
        </w:tc>
      </w:tr>
      <w:tr>
        <w:tc>
          <w:tcPr/>
          <w:p>
            <w:pPr>
              <w:pStyle w:val="Compact"/>
            </w:pPr>
          </w:p>
        </w:tc>
        <w:tc>
          <w:tcPr/>
          <w:p>
            <w:pPr>
              <w:pStyle w:val="Compact"/>
            </w:pPr>
            <w:r>
              <w:t xml:space="preserve">G1 - 4th instar</w:t>
            </w:r>
            <w:r>
              <w:t xml:space="preserve">G1 - 5th instar</w:t>
            </w:r>
            <w:r>
              <w:t xml:space="preserve">G1 - Adult</w:t>
            </w:r>
            <w:r>
              <w:t xml:space="preserve">Eggs laid by G1</w:t>
            </w:r>
          </w:p>
        </w:tc>
        <w:tc>
          <w:tcPr/>
          <w:p>
            <w:pPr>
              <w:pStyle w:val="Compact"/>
            </w:pPr>
            <w:r>
              <w:t xml:space="preserve">G1 - Adult</w:t>
            </w:r>
            <w:r>
              <w:t xml:space="preserve">Eggs laid by G1</w:t>
            </w:r>
            <w:r>
              <w:t xml:space="preserve">G2 - 1st instar</w:t>
            </w:r>
          </w:p>
        </w:tc>
        <w:tc>
          <w:tcPr/>
          <w:p>
            <w:pPr>
              <w:pStyle w:val="Compact"/>
            </w:pPr>
            <w:r>
              <w:t xml:space="preserve">G1 - 4th instar</w:t>
            </w:r>
            <w:r>
              <w:t xml:space="preserve">G1 - 5th instar</w:t>
            </w:r>
            <w:r>
              <w:t xml:space="preserve">G1 - Adult</w:t>
            </w:r>
            <w:r>
              <w:t xml:space="preserve">Eggs laid by G1</w:t>
            </w:r>
          </w:p>
        </w:tc>
        <w:tc>
          <w:tcPr/>
          <w:p>
            <w:pPr>
              <w:pStyle w:val="Compact"/>
            </w:pPr>
            <w:r>
              <w:t xml:space="preserve">G1 - 1st instar</w:t>
            </w:r>
            <w:r>
              <w:t xml:space="preserve">G1 - 2nd instar</w:t>
            </w:r>
          </w:p>
        </w:tc>
      </w:tr>
      <w:tr>
        <w:tc>
          <w:tcPr/>
          <w:p>
            <w:pPr>
              <w:pStyle w:val="Compact"/>
            </w:pPr>
            <w:r>
              <w:rPr>
                <w:b/>
                <w:bCs/>
              </w:rPr>
              <w:t xml:space="preserve">Mission 2</w:t>
            </w:r>
          </w:p>
        </w:tc>
        <w:tc>
          <w:tcPr/>
          <w:p>
            <w:pPr>
              <w:pStyle w:val="Compact"/>
            </w:pPr>
            <w:r>
              <w:t xml:space="preserve">Aug. 30 - Sep. 4</w:t>
            </w:r>
          </w:p>
        </w:tc>
        <w:tc>
          <w:tcPr/>
          <w:p>
            <w:pPr>
              <w:pStyle w:val="Compact"/>
            </w:pPr>
          </w:p>
        </w:tc>
        <w:tc>
          <w:tcPr/>
          <w:p>
            <w:pPr>
              <w:pStyle w:val="Compact"/>
            </w:pPr>
            <w:r>
              <w:t xml:space="preserve">Sep. 6 - 10</w:t>
            </w:r>
          </w:p>
        </w:tc>
        <w:tc>
          <w:tcPr/>
          <w:p>
            <w:pPr>
              <w:pStyle w:val="Compact"/>
            </w:pPr>
            <w:r>
              <w:t xml:space="preserve">Sep. 20 - 25</w:t>
            </w:r>
          </w:p>
        </w:tc>
      </w:tr>
      <w:tr>
        <w:tc>
          <w:tcPr/>
          <w:p>
            <w:pPr>
              <w:pStyle w:val="Compact"/>
            </w:pPr>
          </w:p>
        </w:tc>
        <w:tc>
          <w:tcPr/>
          <w:p>
            <w:pPr>
              <w:pStyle w:val="Compact"/>
            </w:pPr>
            <w:r>
              <w:t xml:space="preserve">G1 - Adult</w:t>
            </w:r>
            <w:r>
              <w:t xml:space="preserve">G2 - 1st instar</w:t>
            </w:r>
            <w:r>
              <w:t xml:space="preserve">G2 - 2nd instar</w:t>
            </w:r>
          </w:p>
        </w:tc>
        <w:tc>
          <w:tcPr/>
          <w:p>
            <w:pPr>
              <w:pStyle w:val="Compact"/>
            </w:pPr>
            <w:r>
              <w:t xml:space="preserve">G1 - Adult</w:t>
            </w:r>
            <w:r>
              <w:t xml:space="preserve">Eggs laid by G1</w:t>
            </w:r>
            <w:r>
              <w:t xml:space="preserve">G2 - 1st instar</w:t>
            </w:r>
          </w:p>
        </w:tc>
        <w:tc>
          <w:tcPr/>
          <w:p>
            <w:pPr>
              <w:pStyle w:val="Compact"/>
            </w:pPr>
            <w:r>
              <w:t xml:space="preserve">G2 - 4th instar</w:t>
            </w:r>
            <w:r>
              <w:t xml:space="preserve">G2 - 5th instar</w:t>
            </w:r>
            <w:r>
              <w:t xml:space="preserve">G2 - Adult</w:t>
            </w:r>
          </w:p>
        </w:tc>
        <w:tc>
          <w:tcPr/>
          <w:p>
            <w:pPr>
              <w:pStyle w:val="Compact"/>
            </w:pPr>
            <w:r>
              <w:t xml:space="preserve">G1 - Adult</w:t>
            </w:r>
            <w:r>
              <w:t xml:space="preserve">Eggs laid by G1</w:t>
            </w:r>
            <w:r>
              <w:t xml:space="preserve">G2 - 1st instar</w:t>
            </w:r>
          </w:p>
        </w:tc>
      </w:tr>
      <w:tr>
        <w:tc>
          <w:tcPr/>
          <w:p>
            <w:pPr>
              <w:pStyle w:val="Compact"/>
            </w:pPr>
            <w:r>
              <w:rPr>
                <w:b/>
                <w:bCs/>
              </w:rPr>
              <w:t xml:space="preserve">Mission 3</w:t>
            </w:r>
          </w:p>
        </w:tc>
        <w:tc>
          <w:tcPr/>
          <w:p>
            <w:pPr>
              <w:pStyle w:val="Compact"/>
            </w:pPr>
            <w:r>
              <w:t xml:space="preserve">Sep. 28 - Oct. 5</w:t>
            </w:r>
          </w:p>
        </w:tc>
        <w:tc>
          <w:tcPr/>
          <w:p>
            <w:pPr>
              <w:pStyle w:val="Compact"/>
            </w:pPr>
          </w:p>
        </w:tc>
        <w:tc>
          <w:tcPr/>
          <w:p>
            <w:pPr>
              <w:pStyle w:val="Compact"/>
            </w:pPr>
            <w:r>
              <w:t xml:space="preserve">Oct. 4 - 9</w:t>
            </w:r>
          </w:p>
        </w:tc>
        <w:tc>
          <w:tcPr/>
          <w:p>
            <w:pPr>
              <w:pStyle w:val="Compact"/>
            </w:pPr>
            <w:r>
              <w:t xml:space="preserve">Oct. 19</w:t>
            </w:r>
          </w:p>
        </w:tc>
      </w:tr>
      <w:tr>
        <w:tc>
          <w:tcPr/>
          <w:p>
            <w:pPr>
              <w:pStyle w:val="Compact"/>
            </w:pPr>
          </w:p>
        </w:tc>
        <w:tc>
          <w:tcPr/>
          <w:p>
            <w:pPr>
              <w:pStyle w:val="Compact"/>
            </w:pPr>
            <w:r>
              <w:t xml:space="preserve">G2 - 4th instar</w:t>
            </w:r>
            <w:r>
              <w:t xml:space="preserve">G2 - 5th instar</w:t>
            </w:r>
            <w:r>
              <w:t xml:space="preserve">G2 - Adult</w:t>
            </w:r>
            <w:r>
              <w:t xml:space="preserve">G3 - 1st instar</w:t>
            </w:r>
          </w:p>
        </w:tc>
        <w:tc>
          <w:tcPr/>
          <w:p>
            <w:pPr>
              <w:pStyle w:val="Compact"/>
            </w:pPr>
            <w:r>
              <w:t xml:space="preserve">G2 - Adult</w:t>
            </w:r>
            <w:r>
              <w:t xml:space="preserve">Eggs laid by G2</w:t>
            </w:r>
            <w:r>
              <w:t xml:space="preserve">G3 - 1st instar</w:t>
            </w:r>
            <w:r>
              <w:t xml:space="preserve">G3 - 2nd instar</w:t>
            </w:r>
          </w:p>
        </w:tc>
        <w:tc>
          <w:tcPr/>
          <w:p>
            <w:pPr>
              <w:pStyle w:val="Compact"/>
            </w:pPr>
            <w:r>
              <w:t xml:space="preserve">G2 - Adult</w:t>
            </w:r>
            <w:r>
              <w:t xml:space="preserve">Eggs laid by G2</w:t>
            </w:r>
            <w:r>
              <w:t xml:space="preserve">G3 - 1st instar</w:t>
            </w:r>
            <w:r>
              <w:t xml:space="preserve">G3 - 2nd instar</w:t>
            </w:r>
          </w:p>
        </w:tc>
        <w:tc>
          <w:tcPr/>
          <w:p>
            <w:pPr>
              <w:pStyle w:val="Compact"/>
            </w:pPr>
            <w:r>
              <w:t xml:space="preserve">G2 - Adult</w:t>
            </w:r>
            <w:r>
              <w:t xml:space="preserve">Eggs laid by G2</w:t>
            </w:r>
          </w:p>
        </w:tc>
      </w:tr>
    </w:tbl>
    <w:p>
      <w:pPr>
        <w:pStyle w:val="BodyText"/>
      </w:pPr>
      <w:r>
        <w:t xml:space="preserve">Developmental stages and generations present during each of the missions across the four regions. The mission dates for each region are noted above the list of stages and generations present. The generations are noted by G followed by the generation number; Senegalese grasshoppers typically have three generations each year, as rains allow.</w:t>
      </w:r>
    </w:p>
    <w:bookmarkEnd w:id="17"/>
    <w:bookmarkStart w:id="25" w:name="crop-impact"/>
    <w:p>
      <w:pPr>
        <w:pStyle w:val="Heading2"/>
      </w:pPr>
      <w:r>
        <w:t xml:space="preserve">2.3 Crop impact</w:t>
      </w:r>
    </w:p>
    <w:bookmarkStart w:id="18" w:name="senegalese-grasshopper-density"/>
    <w:p>
      <w:pPr>
        <w:pStyle w:val="Heading3"/>
      </w:pPr>
      <w:r>
        <w:t xml:space="preserve">2.3.1 Senegalese grasshopper density</w:t>
      </w:r>
    </w:p>
    <w:p>
      <w:pPr>
        <w:pStyle w:val="FirstParagraph"/>
      </w:pPr>
      <w:r>
        <w:t xml:space="preserve">Fertilizer treatment progressively suppressed grasshopper density over the growing season, with effects intensifying from non-significant early in the season (Mission 1: p = 0.004) to highly significant by late season (Mission 3: estimate = -1.341, p &lt; 0.001;</w:t>
      </w:r>
      <w:r>
        <w:t xml:space="preserve"> </w:t>
      </w:r>
      <w:hyperlink w:anchor="tbl-ose-density-models">
        <w:r>
          <w:rPr>
            <w:rStyle w:val="Hyperlink"/>
          </w:rPr>
          <w:t xml:space="preserve">Table 2</w:t>
        </w:r>
      </w:hyperlink>
      <w:r>
        <w:t xml:space="preserve">). This temporal pattern reflected both fertilizer application and cumulative grasshopper population suppression. Regional responses varied significantly, with Kaffrine showing consistently elevated densities across all treatments and missions. By mission 3, grasshopper densities in control fields were 3.4-times higher than in fertilized fields in Kaffrine and -times higher in Thiès. Across all missions, the suppressive effect of fertilization in Kaffrine ranged from 1.1–3.4-fold (</w:t>
      </w:r>
      <w:hyperlink w:anchor="tbl-ose-density-pairwise">
        <w:r>
          <w:rPr>
            <w:rStyle w:val="Hyperlink"/>
          </w:rPr>
          <w:t xml:space="preserve">Table 3</w:t>
        </w:r>
      </w:hyperlink>
      <w:r>
        <w:t xml:space="preserve">).</w:t>
      </w:r>
    </w:p>
    <w:bookmarkEnd w:id="18"/>
    <w:bookmarkStart w:id="19" w:name="grasshopper-damage-to-millet"/>
    <w:p>
      <w:pPr>
        <w:pStyle w:val="Heading3"/>
      </w:pPr>
      <w:r>
        <w:t xml:space="preserve">2.3.2 Grasshopper damage to millet</w:t>
      </w:r>
    </w:p>
    <w:p>
      <w:pPr>
        <w:pStyle w:val="FirstParagraph"/>
      </w:pPr>
      <w:r>
        <w:t xml:space="preserve">Crop damage mirrored grasshopper density patterns, intensifying throughout the missions and showing strongest fertilizer suppression by mission 3 (estimate = -1.351, p = 0.026;</w:t>
      </w:r>
      <w:r>
        <w:t xml:space="preserve"> </w:t>
      </w:r>
      <w:hyperlink w:anchor="tbl-ose-damage-models">
        <w:r>
          <w:rPr>
            <w:rStyle w:val="Hyperlink"/>
          </w:rPr>
          <w:t xml:space="preserve">Table 4</w:t>
        </w:r>
      </w:hyperlink>
      <w:r>
        <w:t xml:space="preserve">). Control fields had 3–13 times higher damage than fertilized fields by the last mission, with effects particularly pronounced in Fatick and Kaffrine (</w:t>
      </w:r>
      <w:hyperlink w:anchor="tbl-ose-damage-pairwise">
        <w:r>
          <w:rPr>
            <w:rStyle w:val="Hyperlink"/>
          </w:rPr>
          <w:t xml:space="preserve">Table 5</w:t>
        </w:r>
      </w:hyperlink>
      <w:r>
        <w:t xml:space="preserve">).</w:t>
      </w:r>
    </w:p>
    <w:bookmarkEnd w:id="19"/>
    <w:bookmarkStart w:id="24" w:name="millet-yield"/>
    <w:p>
      <w:pPr>
        <w:pStyle w:val="Heading3"/>
      </w:pPr>
      <w:r>
        <w:t xml:space="preserve">2.3.3 Millet yield</w:t>
      </w:r>
    </w:p>
    <w:p>
      <w:pPr>
        <w:pStyle w:val="FirstParagraph"/>
      </w:pPr>
      <w:r>
        <w:t xml:space="preserve">Fertilizer treatment significantly increased millet yield across all harvested regions (estimate = 0.939, p &lt; 0.001), with the strongest effect in Thiès (p not available;</w:t>
      </w:r>
      <w:r>
        <w:t xml:space="preserve"> </w:t>
      </w:r>
      <w:hyperlink w:anchor="tbl-yield-model">
        <w:r>
          <w:rPr>
            <w:rStyle w:val="Hyperlink"/>
          </w:rPr>
          <w:t xml:space="preserve">Table 6</w:t>
        </w:r>
      </w:hyperlink>
      <w:r>
        <w:t xml:space="preserve">,</w:t>
      </w:r>
      <w:r>
        <w:t xml:space="preserve"> </w:t>
      </w:r>
      <w:hyperlink w:anchor="tbl-yield-pairwise">
        <w:r>
          <w:rPr>
            <w:rStyle w:val="Hyperlink"/>
          </w:rPr>
          <w:t xml:space="preserve">Table 7</w:t>
        </w:r>
      </w:hyperlink>
      <w:r>
        <w:t xml:space="preserve">). Control fields had 55% lower yield than fertilized fields in Fatick and Kaffrine, representing an approximately 1.8-fold increase from fertilization. Saint Louis was excluded from yield analysis due to insufficient rainfall for crop maturation.</w:t>
      </w:r>
    </w:p>
    <w:tbl>
      <w:tblPr>
        <w:tblStyle w:val="Table"/>
        <w:tblW w:type="pct" w:w="5000"/>
        <w:tblLayout w:type="fixed"/>
        <w:tblLook w:firstRow="0" w:lastRow="0" w:firstColumn="0" w:lastColumn="0" w:noHBand="0" w:noVBand="0" w:val="0000"/>
      </w:tblPr>
      <w:tblGrid>
        <w:gridCol w:w="7920"/>
      </w:tblGrid>
      <w:tr>
        <w:tc>
          <w:tcPr/>
          <w:bookmarkStart w:id="23" w:name="fig-locust-damage-example"/>
          <w:p>
            <w:pPr>
              <w:pStyle w:val="Compact"/>
              <w:jc w:val="center"/>
            </w:pPr>
            <w:r>
              <w:drawing>
                <wp:inline>
                  <wp:extent cx="2122942" cy="1023104"/>
                  <wp:effectExtent b="0" l="0" r="0" t="0"/>
                  <wp:docPr descr="Grasshopper damage of millet leaves and ears" title="" id="21" name="Picture"/>
                  <a:graphic>
                    <a:graphicData uri="http://schemas.openxmlformats.org/drawingml/2006/picture">
                      <pic:pic>
                        <pic:nvPicPr>
                          <pic:cNvPr descr="../../data/pictures/ose_damage_on_leaves.png" id="22" name="Picture"/>
                          <pic:cNvPicPr>
                            <a:picLocks noChangeArrowheads="1" noChangeAspect="1"/>
                          </pic:cNvPicPr>
                        </pic:nvPicPr>
                        <pic:blipFill>
                          <a:blip r:embed="rId20"/>
                          <a:stretch>
                            <a:fillRect/>
                          </a:stretch>
                        </pic:blipFill>
                        <pic:spPr bwMode="auto">
                          <a:xfrm>
                            <a:off x="0" y="0"/>
                            <a:ext cx="2122942" cy="102310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Senegalese grasshopper damage on millet leaves (a) and ears (b). Photo credit XXX.</w:t>
            </w:r>
          </w:p>
          <w:bookmarkEnd w:id="23"/>
        </w:tc>
      </w:tr>
    </w:tbl>
    <w:bookmarkEnd w:id="24"/>
    <w:bookmarkEnd w:id="25"/>
    <w:bookmarkStart w:id="35" w:name="study-region-maps"/>
    <w:p>
      <w:pPr>
        <w:pStyle w:val="Heading2"/>
      </w:pPr>
      <w:r>
        <w:t xml:space="preserve">2.4 Study region maps</w:t>
      </w:r>
    </w:p>
    <w:bookmarkStart w:id="34" w:name="mean-annual-precipitation"/>
    <w:p>
      <w:pPr>
        <w:pStyle w:val="Heading3"/>
      </w:pPr>
      <w:r>
        <w:t xml:space="preserve">2.4.1 Mean Annual Precipitation</w:t>
      </w:r>
    </w:p>
    <w:tbl>
      <w:tblPr>
        <w:tblStyle w:val="Table"/>
        <w:tblW w:type="pct" w:w="5000"/>
        <w:tblLayout w:type="fixed"/>
        <w:tblLook w:firstRow="0" w:lastRow="0" w:firstColumn="0" w:lastColumn="0" w:noHBand="0" w:noVBand="0" w:val="0000"/>
      </w:tblPr>
      <w:tblGrid>
        <w:gridCol w:w="7920"/>
      </w:tblGrid>
      <w:tr>
        <w:tc>
          <w:tcPr/>
          <w:bookmarkStart w:id="29" w:name="fig-map-senegal"/>
          <w:p>
            <w:pPr>
              <w:pStyle w:val="Compact"/>
              <w:jc w:val="center"/>
            </w:pPr>
            <w:r>
              <w:drawing>
                <wp:inline>
                  <wp:extent cx="5334000" cy="4000500"/>
                  <wp:effectExtent b="0" l="0" r="0" t="0"/>
                  <wp:docPr descr="" title="" id="27" name="Picture"/>
                  <a:graphic>
                    <a:graphicData uri="http://schemas.openxmlformats.org/drawingml/2006/picture">
                      <pic:pic>
                        <pic:nvPicPr>
                          <pic:cNvPr descr="manuscript_methods_results_files/figure-docx/fig-map-senegal-1.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Mean annual precipitation (MAP) for Senegal (2015-2024) based on CHIRPS data. Study regions (Kaffrine, Thiès, Fatick, and Saint-Louis) are outlined in black.</w:t>
            </w:r>
          </w:p>
          <w:bookmarkEnd w:id="29"/>
        </w:tc>
      </w:tr>
    </w:tbl>
    <w:tbl>
      <w:tblPr>
        <w:tblStyle w:val="Table"/>
        <w:tblW w:type="pct" w:w="5000"/>
        <w:tblLayout w:type="fixed"/>
        <w:tblLook w:firstRow="0" w:lastRow="0" w:firstColumn="0" w:lastColumn="0" w:noHBand="0" w:noVBand="0" w:val="0000"/>
      </w:tblPr>
      <w:tblGrid>
        <w:gridCol w:w="7920"/>
      </w:tblGrid>
      <w:tr>
        <w:tc>
          <w:tcPr/>
          <w:bookmarkStart w:id="33" w:name="fig-monthly-rainfall"/>
          <w:p>
            <w:pPr>
              <w:pStyle w:val="Compact"/>
              <w:jc w:val="center"/>
            </w:pPr>
            <w:r>
              <w:drawing>
                <wp:inline>
                  <wp:extent cx="5334000" cy="4445000"/>
                  <wp:effectExtent b="0" l="0" r="0" t="0"/>
                  <wp:docPr descr="" title="" id="31" name="Picture"/>
                  <a:graphic>
                    <a:graphicData uri="http://schemas.openxmlformats.org/drawingml/2006/picture">
                      <pic:pic>
                        <pic:nvPicPr>
                          <pic:cNvPr descr="manuscript_methods_results_files/figure-docx/fig-monthly-rainfall-1.png" id="32" name="Picture"/>
                          <pic:cNvPicPr>
                            <a:picLocks noChangeArrowheads="1" noChangeAspect="1"/>
                          </pic:cNvPicPr>
                        </pic:nvPicPr>
                        <pic:blipFill>
                          <a:blip r:embed="rId30"/>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Monthly rainfall patterns during the 2021 growing season (July-October) across Senegal. Study regions are outlined in black.</w:t>
            </w:r>
          </w:p>
          <w:bookmarkEnd w:id="33"/>
        </w:tc>
      </w:tr>
    </w:tbl>
    <w:bookmarkEnd w:id="34"/>
    <w:bookmarkEnd w:id="35"/>
    <w:bookmarkStart w:id="40" w:name="grasshopper-density-analysis"/>
    <w:p>
      <w:pPr>
        <w:pStyle w:val="Heading2"/>
      </w:pPr>
      <w:r>
        <w:t xml:space="preserve">2.5 grasshopper Density Analysis</w:t>
      </w:r>
    </w:p>
    <w:tbl>
      <w:tblPr>
        <w:tblStyle w:val="Table"/>
        <w:tblW w:type="pct" w:w="5000"/>
        <w:tblLayout w:type="fixed"/>
        <w:tblLook w:firstRow="0" w:lastRow="0" w:firstColumn="0" w:lastColumn="0" w:noHBand="0" w:noVBand="0" w:val="0000"/>
      </w:tblPr>
      <w:tblGrid>
        <w:gridCol w:w="7920"/>
      </w:tblGrid>
      <w:tr>
        <w:tc>
          <w:tcPr/>
          <w:bookmarkStart w:id="39" w:name="fig-ose-density"/>
          <w:p>
            <w:pPr>
              <w:pStyle w:val="Compact"/>
              <w:jc w:val="center"/>
            </w:pPr>
            <w:r>
              <w:drawing>
                <wp:inline>
                  <wp:extent cx="4572000" cy="9144000"/>
                  <wp:effectExtent b="0" l="0" r="0" t="0"/>
                  <wp:docPr descr="" title="" id="37" name="Picture"/>
                  <a:graphic>
                    <a:graphicData uri="http://schemas.openxmlformats.org/drawingml/2006/picture">
                      <pic:pic>
                        <pic:nvPicPr>
                          <pic:cNvPr descr="manuscript_methods_results_files/figure-docx/fig-ose-density-1.png" id="38" name="Picture"/>
                          <pic:cNvPicPr>
                            <a:picLocks noChangeArrowheads="1" noChangeAspect="1"/>
                          </pic:cNvPicPr>
                        </pic:nvPicPr>
                        <pic:blipFill>
                          <a:blip r:embed="rId36"/>
                          <a:stretch>
                            <a:fillRect/>
                          </a:stretch>
                        </pic:blipFill>
                        <pic:spPr bwMode="auto">
                          <a:xfrm>
                            <a:off x="0" y="0"/>
                            <a:ext cx="4572000" cy="914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Senegalese grasshopper density was lower in the fertilized fields as compared to control millet fields across all study regions, particularly by missions 2 and 3 which took place after the fertilizer application was complete. Here and in subsequent figures, black and green circles are control and fertilized fields, respectively. Large solid circles are estimated marginal means and small open circles are raw data points. See the supplementary material Supp. Table SX for full statistical analysis.</w:t>
            </w:r>
          </w:p>
          <w:bookmarkEnd w:id="39"/>
        </w:tc>
      </w:tr>
    </w:tbl>
    <w:bookmarkEnd w:id="40"/>
    <w:bookmarkStart w:id="45" w:name="ose-damage-analysis"/>
    <w:p>
      <w:pPr>
        <w:pStyle w:val="Heading2"/>
      </w:pPr>
      <w:r>
        <w:t xml:space="preserve">2.6 OSE Damage Analysis</w:t>
      </w:r>
    </w:p>
    <w:tbl>
      <w:tblPr>
        <w:tblStyle w:val="Table"/>
        <w:tblW w:type="pct" w:w="5000"/>
        <w:tblLayout w:type="fixed"/>
        <w:tblLook w:firstRow="0" w:lastRow="0" w:firstColumn="0" w:lastColumn="0" w:noHBand="0" w:noVBand="0" w:val="0000"/>
      </w:tblPr>
      <w:tblGrid>
        <w:gridCol w:w="7920"/>
      </w:tblGrid>
      <w:tr>
        <w:tc>
          <w:tcPr/>
          <w:bookmarkStart w:id="44" w:name="fig-ose-damage"/>
          <w:p>
            <w:pPr>
              <w:pStyle w:val="Compact"/>
              <w:jc w:val="center"/>
            </w:pPr>
            <w:r>
              <w:drawing>
                <wp:inline>
                  <wp:extent cx="4572000" cy="9144000"/>
                  <wp:effectExtent b="0" l="0" r="0" t="0"/>
                  <wp:docPr descr="" title="" id="42" name="Picture"/>
                  <a:graphic>
                    <a:graphicData uri="http://schemas.openxmlformats.org/drawingml/2006/picture">
                      <pic:pic>
                        <pic:nvPicPr>
                          <pic:cNvPr descr="manuscript_methods_results_files/figure-docx/fig-ose-damage-1.png" id="43" name="Picture"/>
                          <pic:cNvPicPr>
                            <a:picLocks noChangeArrowheads="1" noChangeAspect="1"/>
                          </pic:cNvPicPr>
                        </pic:nvPicPr>
                        <pic:blipFill>
                          <a:blip r:embed="rId41"/>
                          <a:stretch>
                            <a:fillRect/>
                          </a:stretch>
                        </pic:blipFill>
                        <pic:spPr bwMode="auto">
                          <a:xfrm>
                            <a:off x="0" y="0"/>
                            <a:ext cx="4572000" cy="914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Millet leaf damage (%) from grasshoppers across the study regions and missions remained low in the fertilized fields but was elevated in the control fields during the second and third missions after the fertilizer application was complete. See the supplementary material Supp. Table SX for full statistical analysis.</w:t>
            </w:r>
          </w:p>
          <w:bookmarkEnd w:id="44"/>
        </w:tc>
      </w:tr>
    </w:tbl>
    <w:bookmarkEnd w:id="45"/>
    <w:bookmarkStart w:id="50" w:name="millet-yield-analysis"/>
    <w:p>
      <w:pPr>
        <w:pStyle w:val="Heading2"/>
      </w:pPr>
      <w:r>
        <w:t xml:space="preserve">2.7 Millet Yield Analysis</w:t>
      </w:r>
    </w:p>
    <w:tbl>
      <w:tblPr>
        <w:tblStyle w:val="Table"/>
        <w:tblW w:type="pct" w:w="5000"/>
        <w:tblLayout w:type="fixed"/>
        <w:tblLook w:firstRow="0" w:lastRow="0" w:firstColumn="0" w:lastColumn="0" w:noHBand="0" w:noVBand="0" w:val="0000"/>
      </w:tblPr>
      <w:tblGrid>
        <w:gridCol w:w="7920"/>
      </w:tblGrid>
      <w:tr>
        <w:tc>
          <w:tcPr/>
          <w:bookmarkStart w:id="49" w:name="fig-yield-raw"/>
          <w:p>
            <w:pPr>
              <w:pStyle w:val="Compact"/>
              <w:jc w:val="center"/>
            </w:pPr>
            <w:r>
              <w:drawing>
                <wp:inline>
                  <wp:extent cx="5334000" cy="5334000"/>
                  <wp:effectExtent b="0" l="0" r="0" t="0"/>
                  <wp:docPr descr="" title="" id="47" name="Picture"/>
                  <a:graphic>
                    <a:graphicData uri="http://schemas.openxmlformats.org/drawingml/2006/picture">
                      <pic:pic>
                        <pic:nvPicPr>
                          <pic:cNvPr descr="manuscript_methods_results_files/figure-docx/fig-yield-raw-1.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Millet yield was highest in fertilized fields across the three regions where there was sufficient rainfall to support millet to harvest (Fatick, Kaffrine, and Thies). See the supplementary material Supp. Table SX for full statistical analysis.</w:t>
            </w:r>
          </w:p>
          <w:bookmarkEnd w:id="49"/>
        </w:tc>
      </w:tr>
    </w:tbl>
    <w:bookmarkEnd w:id="50"/>
    <w:bookmarkStart w:id="55" w:name="X71defc2e7a42eb3100b382b33a353bfcb1c9853"/>
    <w:p>
      <w:pPr>
        <w:pStyle w:val="Heading2"/>
      </w:pPr>
      <w:r>
        <w:t xml:space="preserve">2.8 Ground Cover Mediation of Fertilizer Effects on grasshopper Density</w:t>
      </w:r>
    </w:p>
    <w:p>
      <w:pPr>
        <w:pStyle w:val="FirstParagraph"/>
      </w:pPr>
      <w:r>
        <w:t xml:space="preserve">Ground cover mediated fertilizer effects on grasshopper density differently between treatments (deviance explained: 60%;</w:t>
      </w:r>
      <w:r>
        <w:t xml:space="preserve"> </w:t>
      </w:r>
      <w:hyperlink w:anchor="tbl-ground-cover-unified">
        <w:r>
          <w:rPr>
            <w:rStyle w:val="Hyperlink"/>
          </w:rPr>
          <w:t xml:space="preserve">Table 8</w:t>
        </w:r>
      </w:hyperlink>
      <w:r>
        <w:t xml:space="preserve">). In fertilized fields, density peaked at ~40% ground cover and declined at higher and lower values, whereas control fields showed low densities until 60–70% cover, after which densities increased substantially.</w:t>
      </w:r>
    </w:p>
    <w:tbl>
      <w:tblPr>
        <w:tblStyle w:val="Table"/>
        <w:tblW w:type="pct" w:w="5000"/>
        <w:tblLayout w:type="fixed"/>
        <w:tblLook w:firstRow="0" w:lastRow="0" w:firstColumn="0" w:lastColumn="0" w:noHBand="0" w:noVBand="0" w:val="0000"/>
      </w:tblPr>
      <w:tblGrid>
        <w:gridCol w:w="7920"/>
      </w:tblGrid>
      <w:tr>
        <w:tc>
          <w:tcPr/>
          <w:bookmarkStart w:id="54" w:name="fig-ground-cover"/>
          <w:p>
            <w:pPr>
              <w:pStyle w:val="Compact"/>
              <w:jc w:val="center"/>
            </w:pPr>
            <w:r>
              <w:drawing>
                <wp:inline>
                  <wp:extent cx="5334000" cy="5334000"/>
                  <wp:effectExtent b="0" l="0" r="0" t="0"/>
                  <wp:docPr descr="" title="" id="52" name="Picture"/>
                  <a:graphic>
                    <a:graphicData uri="http://schemas.openxmlformats.org/drawingml/2006/picture">
                      <pic:pic>
                        <pic:nvPicPr>
                          <pic:cNvPr descr="manuscript_methods_results_files/figure-docx/fig-ground-cover-1.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Senegalese grasshopper density peaked at around 40% ground cover in fertilized fields and around 60-70% in control fields. However, ground cover did not differ significantly between fertilizer treatments. See Supp. Tables SX and SX for full statistical analysis and Supp. Fig. SX for raw data points.</w:t>
            </w:r>
          </w:p>
          <w:bookmarkEnd w:id="54"/>
        </w:tc>
      </w:tr>
    </w:tbl>
    <w:bookmarkEnd w:id="55"/>
    <w:bookmarkEnd w:id="56"/>
    <w:bookmarkStart w:id="72" w:name="supplementary-figures"/>
    <w:p>
      <w:pPr>
        <w:pStyle w:val="Heading1"/>
      </w:pPr>
      <w:r>
        <w:t xml:space="preserve">3. Supplementary Figures</w:t>
      </w:r>
    </w:p>
    <w:bookmarkStart w:id="61" w:name="X3b2ed3ed24ad4e06880662bc79f7c861e67e019"/>
    <w:p>
      <w:pPr>
        <w:pStyle w:val="Heading2"/>
      </w:pPr>
      <w:r>
        <w:t xml:space="preserve">3.1 Raw grasshopper count by treatment, mission, and region</w:t>
      </w:r>
    </w:p>
    <w:tbl>
      <w:tblPr>
        <w:tblStyle w:val="Table"/>
        <w:tblW w:type="pct" w:w="5000"/>
        <w:tblLayout w:type="fixed"/>
        <w:tblLook w:firstRow="0" w:lastRow="0" w:firstColumn="0" w:lastColumn="0" w:noHBand="0" w:noVBand="0" w:val="0000"/>
      </w:tblPr>
      <w:tblGrid>
        <w:gridCol w:w="7920"/>
      </w:tblGrid>
      <w:tr>
        <w:tc>
          <w:tcPr/>
          <w:bookmarkStart w:id="60" w:name="X622817e625c1174d83aa9a440ea53781e93006f"/>
          <w:p>
            <w:pPr>
              <w:pStyle w:val="Compact"/>
              <w:jc w:val="center"/>
            </w:pPr>
            <w:r>
              <w:drawing>
                <wp:inline>
                  <wp:extent cx="5334000" cy="10668000"/>
                  <wp:effectExtent b="0" l="0" r="0" t="0"/>
                  <wp:docPr descr="" title="" id="58" name="Picture"/>
                  <a:graphic>
                    <a:graphicData uri="http://schemas.openxmlformats.org/drawingml/2006/picture">
                      <pic:pic>
                        <pic:nvPicPr>
                          <pic:cNvPr descr="manuscript_methods_results_files/figure-docx/fig-supp-raw-count-treatment-mission-region-1.png" id="59" name="Picture"/>
                          <pic:cNvPicPr>
                            <a:picLocks noChangeArrowheads="1" noChangeAspect="1"/>
                          </pic:cNvPicPr>
                        </pic:nvPicPr>
                        <pic:blipFill>
                          <a:blip r:embed="rId57"/>
                          <a:stretch>
                            <a:fillRect/>
                          </a:stretch>
                        </pic:blipFill>
                        <pic:spPr bwMode="auto">
                          <a:xfrm>
                            <a:off x="0" y="0"/>
                            <a:ext cx="5334000" cy="1066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Raw Senegalese grasshopper density by fertilizer treatment and mission across regions. Individual farmer observations (points) are connected by lines to show within-farm changes across missions. Density patterns varied substantially by region and mission, with no consistent fertilizer treatment effect.</w:t>
            </w:r>
          </w:p>
          <w:bookmarkEnd w:id="60"/>
        </w:tc>
      </w:tr>
    </w:tbl>
    <w:bookmarkEnd w:id="61"/>
    <w:bookmarkStart w:id="66" w:name="ground-cover-by-fertilizer-treatment"/>
    <w:p>
      <w:pPr>
        <w:pStyle w:val="Heading2"/>
      </w:pPr>
      <w:r>
        <w:t xml:space="preserve">3.2 Ground Cover by Fertilizer Treatment</w:t>
      </w:r>
    </w:p>
    <w:tbl>
      <w:tblPr>
        <w:tblStyle w:val="Table"/>
        <w:tblW w:type="pct" w:w="5000"/>
        <w:tblLayout w:type="fixed"/>
        <w:tblLook w:firstRow="0" w:lastRow="0" w:firstColumn="0" w:lastColumn="0" w:noHBand="0" w:noVBand="0" w:val="0000"/>
      </w:tblPr>
      <w:tblGrid>
        <w:gridCol w:w="7920"/>
      </w:tblGrid>
      <w:tr>
        <w:tc>
          <w:tcPr/>
          <w:bookmarkStart w:id="65" w:name="fig-supp-ground-cover-treatment"/>
          <w:p>
            <w:pPr>
              <w:pStyle w:val="Compact"/>
              <w:jc w:val="center"/>
            </w:pPr>
            <w:r>
              <w:drawing>
                <wp:inline>
                  <wp:extent cx="5334000" cy="5334000"/>
                  <wp:effectExtent b="0" l="0" r="0" t="0"/>
                  <wp:docPr descr="" title="" id="63" name="Picture"/>
                  <a:graphic>
                    <a:graphicData uri="http://schemas.openxmlformats.org/drawingml/2006/picture">
                      <pic:pic>
                        <pic:nvPicPr>
                          <pic:cNvPr descr="manuscript_methods_results_files/figure-docx/fig-supp-ground-cover-treatment-1.png" id="64" name="Picture"/>
                          <pic:cNvPicPr>
                            <a:picLocks noChangeArrowheads="1" noChangeAspect="1"/>
                          </pic:cNvPicPr>
                        </pic:nvPicPr>
                        <pic:blipFill>
                          <a:blip r:embed="rId6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Ground cover by fertilizer treatment and mission across regions. Ground cover increased throughout the growing season across all regions, with minimal differences between control and fertilized treatments. Statistical analysis (</w:t>
            </w:r>
            <w:hyperlink w:anchor="tbl-ground-cover-fertilizer-effects">
              <w:r>
                <w:rPr>
                  <w:rStyle w:val="Hyperlink"/>
                </w:rPr>
                <w:t xml:space="preserve">Table 1</w:t>
              </w:r>
            </w:hyperlink>
            <w:r>
              <w:t xml:space="preserve">) confirmed no significant main effect of fertilizer or fertilizer × mission interaction.</w:t>
            </w:r>
          </w:p>
          <w:bookmarkEnd w:id="65"/>
        </w:tc>
      </w:tr>
    </w:tbl>
    <w:bookmarkEnd w:id="66"/>
    <w:bookmarkStart w:id="71" w:name="X45ac137678b47c00aeab879c7bb87a9c9c64900"/>
    <w:p>
      <w:pPr>
        <w:pStyle w:val="Heading2"/>
      </w:pPr>
      <w:r>
        <w:t xml:space="preserve">3.3 Temperature Variation Across Missions and Regions</w:t>
      </w:r>
    </w:p>
    <w:tbl>
      <w:tblPr>
        <w:tblStyle w:val="Table"/>
        <w:tblW w:type="pct" w:w="5000"/>
        <w:tblLayout w:type="fixed"/>
        <w:tblLook w:firstRow="0" w:lastRow="0" w:firstColumn="0" w:lastColumn="0" w:noHBand="0" w:noVBand="0" w:val="0000"/>
      </w:tblPr>
      <w:tblGrid>
        <w:gridCol w:w="7920"/>
      </w:tblGrid>
      <w:tr>
        <w:tc>
          <w:tcPr/>
          <w:bookmarkStart w:id="70" w:name="fig-supp-temperature-mission"/>
          <w:p>
            <w:pPr>
              <w:pStyle w:val="Compact"/>
              <w:jc w:val="center"/>
            </w:pPr>
            <w:r>
              <w:drawing>
                <wp:inline>
                  <wp:extent cx="5334000" cy="5334000"/>
                  <wp:effectExtent b="0" l="0" r="0" t="0"/>
                  <wp:docPr descr="" title="" id="68" name="Picture"/>
                  <a:graphic>
                    <a:graphicData uri="http://schemas.openxmlformats.org/drawingml/2006/picture">
                      <pic:pic>
                        <pic:nvPicPr>
                          <pic:cNvPr descr="manuscript_methods_results_files/figure-docx/fig-supp-temperature-mission-1.png" id="69" name="Picture"/>
                          <pic:cNvPicPr>
                            <a:picLocks noChangeArrowheads="1" noChangeAspect="1"/>
                          </pic:cNvPicPr>
                        </pic:nvPicPr>
                        <pic:blipFill>
                          <a:blip r:embed="rId6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Temperature variation across missions and regions. Fatick showed increasing temperature through the sampling period, while Kaffrine, Thiès, and Saint-Louis remained more stable. Saint-Louis was generally cooler than the other regions. These patterns suggest that temperature at the time of survey is not a primary driver of grasshopper counts once region and mission timing are accounted for.</w:t>
            </w:r>
          </w:p>
          <w:bookmarkEnd w:id="70"/>
        </w:tc>
      </w:tr>
    </w:tbl>
    <w:bookmarkEnd w:id="71"/>
    <w:bookmarkEnd w:id="72"/>
    <w:bookmarkStart w:id="124" w:name="supplementary-tables"/>
    <w:p>
      <w:pPr>
        <w:pStyle w:val="Heading1"/>
      </w:pPr>
      <w:r>
        <w:t xml:space="preserve">4. Supplementary Tables</w:t>
      </w:r>
    </w:p>
    <w:bookmarkStart w:id="74" w:name="X7ec7cdef0213c48ef8c0e20174b4a0090d7f589"/>
    <w:p>
      <w:pPr>
        <w:pStyle w:val="Heading2"/>
      </w:pPr>
      <w:r>
        <w:t xml:space="preserve">4.1 ground cover model summary by fertilizer treatment, mission, and region</w:t>
      </w:r>
    </w:p>
    <w:tbl>
      <w:tblPr>
        <w:tblStyle w:val="Table"/>
        <w:tblW w:type="pct" w:w="5000"/>
        <w:tblLayout w:type="fixed"/>
        <w:tblLook w:firstRow="0" w:lastRow="0" w:firstColumn="0" w:lastColumn="0" w:noHBand="0" w:noVBand="0" w:val="0000"/>
      </w:tblPr>
      <w:tblGrid>
        <w:gridCol w:w="7920"/>
      </w:tblGrid>
      <w:tr>
        <w:tc>
          <w:tcPr/>
          <w:bookmarkStart w:id="73" w:name="tbl-ground-cover-fertilizer-effects"/>
          <w:p>
            <w:pPr>
              <w:jc w:val="center"/>
            </w:pPr>
            <w:pPr>
              <w:jc w:val="left"/>
              <w:spacing w:before="200"/>
              <w:pStyle w:val="ImageCaption"/>
            </w:pPr>
            <w:r>
              <w:t xml:space="preserve">Table 1: Model summary for ground cover by fertilizer treatment, mission, and region. Generalized linear mixed model (GLMM) with Gaussian family distribution. Fixed effects include fertilizer treatment, mission, region, and the fertilizer × mission interaction. Random effects account for farmer-level variation.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Estimates for Ground Cover ~ Fertilizer × Mission + Region</w:t>
            </w:r>
          </w:p>
          <w:p>
            <w:pPr>
              <w:spacing w:before="0" w:after="60"/>
              <w:keepNext/>
              <w:jc w:val="start"/>
              <w:pStyle w:val="caption"/>
            </w:pPr>
            <w:r>
              <w:rPr>
                <w:rFonts w:ascii="Calibri" w:hAnsi="Calibri"/>
                <w:sz w:val="20"/>
                <w:color w:val="333333"/>
              </w:rPr>
              <w:t xml:space="default">Fixed effects and random parameter SDs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z</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p_value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b w:val="true"/>
                    </w:rPr>
                    <w:t xml:space="default">Random parameters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sd__(Intercept)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ran_pars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sd__Observation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ran_pars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b w:val="true"/>
                    </w:rPr>
                    <w:t xml:space="default">Fixed effects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Mission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Mission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Saint Louis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Fertilized:Mission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Fertilized:Mission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0.183</w:t>
                  </w:r>
                </w:p>
              </w:tc>
            </w:tr>
          </w:tbl>
          <w:bookmarkEnd w:id="73"/>
        </w:tc>
      </w:tr>
    </w:tbl>
    <w:bookmarkEnd w:id="74"/>
    <w:bookmarkStart w:id="79" w:name="grasshopper-density-analysis-tables"/>
    <w:p>
      <w:pPr>
        <w:pStyle w:val="Heading2"/>
      </w:pPr>
      <w:r>
        <w:t xml:space="preserve">4.2 grasshopper Density Analysis Tables</w:t>
      </w:r>
    </w:p>
    <w:bookmarkStart w:id="76" w:name="model-summaries-by-mission"/>
    <w:p>
      <w:pPr>
        <w:pStyle w:val="Heading3"/>
      </w:pPr>
      <w:r>
        <w:t xml:space="preserve">4.2.1 Model Summaries by Mission</w:t>
      </w:r>
    </w:p>
    <w:tbl>
      <w:tblPr>
        <w:tblStyle w:val="Table"/>
        <w:tblW w:type="pct" w:w="5000"/>
        <w:tblLayout w:type="fixed"/>
        <w:tblLook w:firstRow="0" w:lastRow="0" w:firstColumn="0" w:lastColumn="0" w:noHBand="0" w:noVBand="0" w:val="0000"/>
      </w:tblPr>
      <w:tblGrid>
        <w:gridCol w:w="7920"/>
      </w:tblGrid>
      <w:tr>
        <w:tc>
          <w:tcPr/>
          <w:bookmarkStart w:id="75" w:name="tbl-ose-density-models"/>
          <w:p>
            <w:pPr>
              <w:jc w:val="center"/>
            </w:pPr>
            <w:pPr>
              <w:jc w:val="left"/>
              <w:spacing w:before="200"/>
              <w:pStyle w:val="ImageCaption"/>
            </w:pPr>
            <w:r>
              <w:t xml:space="preserve">Table 2: Model summaries for grasshopper density by treatment and region across three survey missions. Each mission was modeled separately using generalized linear mixed models (GLMMs) with Tweedie family distribution. Fixed effects include fertilizer treatment, region, and their interaction. Random effects account for farmer-level variation.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Grasshopper Density Model Summaries by 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gridSpan w:val="6"/>
                </w:tcPr>
                <w:p>
                  <w:pPr>
                    <w:spacing w:before="0" w:after="60"/>
                    <w:keepNext/>
                  </w:pPr>
                  <w:r>
                    <w:rPr>
                      <w:rFonts w:ascii="Calibri" w:hAnsi="Calibri"/>
                      <w:sz w:val="20"/>
                    </w:rPr>
                    <w:t xml:space="default">Note: Models fit separately for each mission. Random effect shown as standard deviation.</w:t>
                  </w:r>
                </w:p>
              </w:tc>
            </w:tr>
          </w:tbl>
          <w:bookmarkEnd w:id="75"/>
        </w:tc>
      </w:tr>
    </w:tbl>
    <w:bookmarkEnd w:id="76"/>
    <w:bookmarkStart w:id="78" w:name="pairwise-comparisons-by-mission"/>
    <w:p>
      <w:pPr>
        <w:pStyle w:val="Heading3"/>
      </w:pPr>
      <w:r>
        <w:t xml:space="preserve">4.2.2 Pairwise Comparisons by Mission</w:t>
      </w:r>
    </w:p>
    <w:tbl>
      <w:tblPr>
        <w:tblStyle w:val="Table"/>
        <w:tblW w:type="pct" w:w="5000"/>
        <w:tblLayout w:type="fixed"/>
        <w:tblLook w:firstRow="0" w:lastRow="0" w:firstColumn="0" w:lastColumn="0" w:noHBand="0" w:noVBand="0" w:val="0000"/>
      </w:tblPr>
      <w:tblGrid>
        <w:gridCol w:w="7920"/>
      </w:tblGrid>
      <w:tr>
        <w:tc>
          <w:tcPr/>
          <w:bookmarkStart w:id="77" w:name="tbl-ose-density-pairwise"/>
          <w:p>
            <w:pPr>
              <w:jc w:val="center"/>
            </w:pPr>
            <w:pPr>
              <w:jc w:val="left"/>
              <w:spacing w:before="200"/>
              <w:pStyle w:val="ImageCaption"/>
            </w:pPr>
            <w:r>
              <w:t xml:space="preserve">Table 3: Pairwise comparisons of estimated marginal means for grasshopper density across treatment × region combinations within each mission. Ratios indicate the multiplicative difference between groups. Tukey adjustment applied for multiple comparisons.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Grasshoppe Density Pairwise Comparisons by 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Contrast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Ratio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null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z Ratio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Saint-Louis)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Saint-Louis)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gridSpan w:val="7"/>
                </w:tcPr>
                <w:p>
                  <w:pPr>
                    <w:spacing w:before="0" w:after="60"/>
                    <w:keepNext/>
                  </w:pPr>
                  <w:r>
                    <w:rPr>
                      <w:rFonts w:ascii="Calibri" w:hAnsi="Calibri"/>
                      <w:sz w:val="20"/>
                    </w:rPr>
                    <w:t xml:space="default">Note: Pairwise comparisons conducted within each mission separately.</w:t>
                  </w:r>
                </w:p>
              </w:tc>
            </w:tr>
          </w:tbl>
          <w:bookmarkEnd w:id="77"/>
        </w:tc>
      </w:tr>
    </w:tbl>
    <w:bookmarkEnd w:id="78"/>
    <w:bookmarkEnd w:id="79"/>
    <w:bookmarkStart w:id="84" w:name="grasshopper-damage-analysis-tables"/>
    <w:p>
      <w:pPr>
        <w:pStyle w:val="Heading2"/>
      </w:pPr>
      <w:r>
        <w:t xml:space="preserve">4.3 Grasshopper Damage Analysis Tables</w:t>
      </w:r>
    </w:p>
    <w:bookmarkStart w:id="81" w:name="model-summaries-by-mission-1"/>
    <w:p>
      <w:pPr>
        <w:pStyle w:val="Heading3"/>
      </w:pPr>
      <w:r>
        <w:t xml:space="preserve">4.3.1 Model Summaries by Mission</w:t>
      </w:r>
    </w:p>
    <w:tbl>
      <w:tblPr>
        <w:tblStyle w:val="Table"/>
        <w:tblW w:type="pct" w:w="5000"/>
        <w:tblLayout w:type="fixed"/>
        <w:tblLook w:firstRow="0" w:lastRow="0" w:firstColumn="0" w:lastColumn="0" w:noHBand="0" w:noVBand="0" w:val="0000"/>
      </w:tblPr>
      <w:tblGrid>
        <w:gridCol w:w="7920"/>
      </w:tblGrid>
      <w:tr>
        <w:tc>
          <w:tcPr/>
          <w:bookmarkStart w:id="80" w:name="tbl-ose-damage-models"/>
          <w:p>
            <w:pPr>
              <w:jc w:val="center"/>
            </w:pPr>
            <w:pPr>
              <w:jc w:val="left"/>
              <w:spacing w:before="200"/>
              <w:pStyle w:val="ImageCaption"/>
            </w:pPr>
            <w:r>
              <w:t xml:space="preserve">Table 4: Model summaries for grasshopper damage by treatment and region across three survey missions. Each mission was modeled separately using generalized linear mixed models (GLMMs) with Tweedie family distribution. Fixed effects include fertilizer treatment, region, and their interaction. Random effects account for farmer-level variation.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Grasshopper Damage Model Summaries by 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gridSpan w:val="6"/>
                </w:tcPr>
                <w:p>
                  <w:pPr>
                    <w:spacing w:before="0" w:after="60"/>
                    <w:keepNext/>
                  </w:pPr>
                  <w:r>
                    <w:rPr>
                      <w:rFonts w:ascii="Calibri" w:hAnsi="Calibri"/>
                      <w:sz w:val="20"/>
                    </w:rPr>
                    <w:t xml:space="default">Note: Models fit separately for each mission. Random effect shown as standard deviation.</w:t>
                  </w:r>
                </w:p>
              </w:tc>
            </w:tr>
          </w:tbl>
          <w:bookmarkEnd w:id="80"/>
        </w:tc>
      </w:tr>
    </w:tbl>
    <w:bookmarkEnd w:id="81"/>
    <w:bookmarkStart w:id="83" w:name="pairwise-comparisons-by-mission-1"/>
    <w:p>
      <w:pPr>
        <w:pStyle w:val="Heading3"/>
      </w:pPr>
      <w:r>
        <w:t xml:space="preserve">4.3.2 Pairwise Comparisons by Mission</w:t>
      </w:r>
    </w:p>
    <w:tbl>
      <w:tblPr>
        <w:tblStyle w:val="Table"/>
        <w:tblW w:type="pct" w:w="5000"/>
        <w:tblLayout w:type="fixed"/>
        <w:tblLook w:firstRow="0" w:lastRow="0" w:firstColumn="0" w:lastColumn="0" w:noHBand="0" w:noVBand="0" w:val="0000"/>
      </w:tblPr>
      <w:tblGrid>
        <w:gridCol w:w="7920"/>
      </w:tblGrid>
      <w:tr>
        <w:tc>
          <w:tcPr/>
          <w:bookmarkStart w:id="82" w:name="tbl-ose-damage-pairwise"/>
          <w:p>
            <w:pPr>
              <w:jc w:val="center"/>
            </w:pPr>
            <w:pPr>
              <w:jc w:val="left"/>
              <w:spacing w:before="200"/>
              <w:pStyle w:val="ImageCaption"/>
            </w:pPr>
            <w:r>
              <w:t xml:space="preserve">Table 5: Pairwise comparisons of estimated marginal means for grasshopper damage across treatment × region combinations within each mission. Ratios indicate the multiplicative difference between groups. Tukey adjustment applied for multiple comparisons.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Grasshopper Damage Pairwise Comparisons by 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Contrast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Ratio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null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z Ratio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Saint-Louis)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Saint-Louis)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control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Saint-Louis)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gridSpan w:val="7"/>
                </w:tcPr>
                <w:p>
                  <w:pPr>
                    <w:spacing w:before="0" w:after="60"/>
                    <w:keepNext/>
                  </w:pPr>
                  <w:r>
                    <w:rPr>
                      <w:rFonts w:ascii="Calibri" w:hAnsi="Calibri"/>
                      <w:sz w:val="20"/>
                    </w:rPr>
                    <w:t xml:space="default">Note: Pairwise comparisons conducted within each mission separately.</w:t>
                  </w:r>
                </w:p>
              </w:tc>
            </w:tr>
          </w:tbl>
          <w:bookmarkEnd w:id="82"/>
        </w:tc>
      </w:tr>
    </w:tbl>
    <w:bookmarkEnd w:id="83"/>
    <w:bookmarkEnd w:id="84"/>
    <w:bookmarkStart w:id="89" w:name="millet-yield-analysis-tables"/>
    <w:p>
      <w:pPr>
        <w:pStyle w:val="Heading2"/>
      </w:pPr>
      <w:r>
        <w:t xml:space="preserve">4.4 Millet Yield Analysis Tables</w:t>
      </w:r>
    </w:p>
    <w:bookmarkStart w:id="86" w:name="model-summary"/>
    <w:p>
      <w:pPr>
        <w:pStyle w:val="Heading3"/>
      </w:pPr>
      <w:r>
        <w:t xml:space="preserve">4.4.1 Model Summary</w:t>
      </w:r>
    </w:p>
    <w:tbl>
      <w:tblPr>
        <w:tblStyle w:val="Table"/>
        <w:tblW w:type="pct" w:w="5000"/>
        <w:tblLayout w:type="fixed"/>
        <w:tblLook w:firstRow="0" w:lastRow="0" w:firstColumn="0" w:lastColumn="0" w:noHBand="0" w:noVBand="0" w:val="0000"/>
      </w:tblPr>
      <w:tblGrid>
        <w:gridCol w:w="7920"/>
      </w:tblGrid>
      <w:tr>
        <w:tc>
          <w:tcPr/>
          <w:bookmarkStart w:id="85" w:name="tbl-yield-model"/>
          <w:p>
            <w:pPr>
              <w:jc w:val="center"/>
            </w:pPr>
            <w:pPr>
              <w:jc w:val="left"/>
              <w:spacing w:before="200"/>
              <w:pStyle w:val="ImageCaption"/>
            </w:pPr>
            <w:r>
              <w:t xml:space="preserve">Table 6: Model summary for millet yield by fertilizer treatment and region. Generalized linear mixed model (GLMM) with Tweedie family distribution. Fixed effects include fertilizer treatment, region, and their interaction. Random effects account for farmer-level variation.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Estimates for Yield ~ Fertilizer × Region</w:t>
            </w:r>
          </w:p>
          <w:p>
            <w:pPr>
              <w:spacing w:before="0" w:after="60"/>
              <w:keepNext/>
              <w:jc w:val="start"/>
              <w:pStyle w:val="caption"/>
            </w:pPr>
            <w:r>
              <w:rPr>
                <w:rFonts w:ascii="Calibri" w:hAnsi="Calibri"/>
                <w:sz w:val="20"/>
                <w:color w:val="333333"/>
              </w:rPr>
              <w:t xml:space="default">Fixed effects and random parameter SDs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z</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p_value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b w:val="true"/>
                    </w:rPr>
                    <w:t xml:space="default">Random parameters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sd__(Intercept)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ran_pars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b w:val="true"/>
                    </w:rPr>
                    <w:t xml:space="default">Fixed effects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regionFatick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Kaffrine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Fertilized:regionFatick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Fertilized:Kaffrine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bl>
          <w:bookmarkEnd w:id="85"/>
        </w:tc>
      </w:tr>
    </w:tbl>
    <w:bookmarkEnd w:id="86"/>
    <w:bookmarkStart w:id="88" w:name="pairwise-comparisons"/>
    <w:p>
      <w:pPr>
        <w:pStyle w:val="Heading3"/>
      </w:pPr>
      <w:r>
        <w:t xml:space="preserve">4.4.2 Pairwise Comparisons</w:t>
      </w:r>
    </w:p>
    <w:tbl>
      <w:tblPr>
        <w:tblStyle w:val="Table"/>
        <w:tblW w:type="pct" w:w="5000"/>
        <w:tblLayout w:type="fixed"/>
        <w:tblLook w:firstRow="0" w:lastRow="0" w:firstColumn="0" w:lastColumn="0" w:noHBand="0" w:noVBand="0" w:val="0000"/>
      </w:tblPr>
      <w:tblGrid>
        <w:gridCol w:w="7920"/>
      </w:tblGrid>
      <w:tr>
        <w:tc>
          <w:tcPr/>
          <w:bookmarkStart w:id="87" w:name="tbl-yield-pairwise"/>
          <w:p>
            <w:pPr>
              <w:jc w:val="center"/>
            </w:pPr>
            <w:pPr>
              <w:jc w:val="left"/>
              <w:spacing w:before="200"/>
              <w:pStyle w:val="ImageCaption"/>
            </w:pPr>
            <w:r>
              <w:t xml:space="preserve">Table 7: Pairwise comparisons of estimated marginal means for millet yield across treatment × region combinations. Ratios indicate the multiplicative difference between groups. Tukey adjustment applied for multiple comparisons.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Estimated Marginal Means Pairwise Contrasts</w:t>
            </w:r>
          </w:p>
          <w:p>
            <w:pPr>
              <w:spacing w:before="0" w:after="60"/>
              <w:keepNext/>
              <w:jc w:val="start"/>
              <w:pStyle w:val="caption"/>
            </w:pPr>
            <w:r>
              <w:rPr>
                <w:rFonts w:ascii="Calibri" w:hAnsi="Calibri"/>
                <w:sz w:val="20"/>
                <w:color w:val="333333"/>
              </w:rPr>
              <w:t xml:space="default">Table of pairwise ratios, z statistics, and p-values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Ratio</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DF</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Null</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z Ratio</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Thiès / fertilized Thiès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4.914e-01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4.153e-01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Thiès / control Fatick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Thiès / fertilized Fatick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9.335e-01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Thiès / control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Thiès / fertilized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8.893e-01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Fatick / fertilized Fatick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1.000e+00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Fatick / control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fertilized Fatick / fertilized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1.000e+00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Kaffrine / fertilized Kaffrine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bl>
          <w:bookmarkEnd w:id="87"/>
        </w:tc>
      </w:tr>
    </w:tbl>
    <w:bookmarkEnd w:id="88"/>
    <w:bookmarkEnd w:id="89"/>
    <w:bookmarkStart w:id="91" w:name="ground-cover-mediation-analysis-tables"/>
    <w:p>
      <w:pPr>
        <w:pStyle w:val="Heading2"/>
      </w:pPr>
      <w:r>
        <w:t xml:space="preserve">4.5 Ground Cover Mediation Analysis Tables</w:t>
      </w:r>
    </w:p>
    <w:tbl>
      <w:tblPr>
        <w:tblStyle w:val="Table"/>
        <w:tblW w:type="pct" w:w="5000"/>
        <w:tblLayout w:type="fixed"/>
        <w:tblLook w:firstRow="0" w:lastRow="0" w:firstColumn="0" w:lastColumn="0" w:noHBand="0" w:noVBand="0" w:val="0000"/>
      </w:tblPr>
      <w:tblGrid>
        <w:gridCol w:w="7920"/>
      </w:tblGrid>
      <w:tr>
        <w:tc>
          <w:tcPr/>
          <w:bookmarkStart w:id="90" w:name="tbl-ground-cover-unified"/>
          <w:p>
            <w:pPr>
              <w:jc w:val="center"/>
            </w:pPr>
            <w:pPr>
              <w:jc w:val="left"/>
              <w:spacing w:before="200"/>
              <w:pStyle w:val="ImageCaption"/>
            </w:pPr>
            <w:r>
              <w:t xml:space="preserve">Table 8: Model summary for the unified ground cover mediation analysis. Generalized additive model (GAM) with Tweedie family distribution examining how ground cover mediates the effect of fertilizer treatment on grasshopper density. The model includes parametric terms for fertilizer treatment, mission number, and region, plus smooth terms for ground cover (varying by fertilizer treatment) and farmer random effects.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Ground Cover × Fertilizer Mediation Model</w:t>
            </w:r>
          </w:p>
          <w:p>
            <w:pPr>
              <w:spacing w:before="0" w:after="60"/>
              <w:keepNext/>
              <w:jc w:val="start"/>
              <w:pStyle w:val="caption"/>
            </w:pPr>
            <w:r>
              <w:rPr>
                <w:rFonts w:ascii="Calibri" w:hAnsi="Calibri"/>
                <w:sz w:val="20"/>
                <w:color w:val="333333"/>
              </w:rPr>
              <w:t xml:space="default">Parametric and smooth terms from GAM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EDF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Ref. DF</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b w:val="true"/>
                    </w:rPr>
                    <w:t xml:space="default">Parametric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fertilizer_treatmentfertilized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mission_number2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mission_number3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regionThiès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regionFatick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regionKaffrine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fertilizer_treatmentfertilized:mission_number2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fertilizer_treatmentfertilized:mission_number3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b w:val="true"/>
                    </w:rPr>
                    <w:t xml:space="default">Smooth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s(percent_ground_cover):fertilizer_treatmentcontrol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2.642169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s(percent_ground_cover):fertilizer_treatmentfertilized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3.185180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s(farmer)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104.633158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r>
            <w:tr>
              <w:trPr>
                <w:cantSplit/>
              </w:trPr>
              <w:tc>
                <w:tcPr>
                  <w:gridSpan w:val="7"/>
                </w:tcPr>
                <w:p>
                  <w:pPr>
                    <w:spacing w:before="0" w:after="60"/>
                    <w:keepNext/>
                  </w:pPr>
                  <w:r>
                    <w:rPr>
                      <w:rFonts w:ascii="Calibri" w:hAnsi="Calibri"/>
                      <w:sz w:val="20"/>
                    </w:rPr>
                    <w:t xml:space="preserve">Model deviance explained: 60%</w:t>
                  </w:r>
                </w:p>
              </w:tc>
            </w:tr>
          </w:tbl>
          <w:bookmarkEnd w:id="90"/>
        </w:tc>
      </w:tr>
    </w:tbl>
    <w:bookmarkEnd w:id="91"/>
    <w:bookmarkStart w:id="93" w:name="temperature-analysis-table"/>
    <w:p>
      <w:pPr>
        <w:pStyle w:val="Heading2"/>
      </w:pPr>
      <w:r>
        <w:t xml:space="preserve">4.6 Temperature Analysis Table</w:t>
      </w:r>
    </w:p>
    <w:tbl>
      <w:tblPr>
        <w:tblStyle w:val="Table"/>
        <w:tblW w:type="pct" w:w="5000"/>
        <w:tblLayout w:type="fixed"/>
        <w:tblLook w:firstRow="0" w:lastRow="0" w:firstColumn="0" w:lastColumn="0" w:noHBand="0" w:noVBand="0" w:val="0000"/>
      </w:tblPr>
      <w:tblGrid>
        <w:gridCol w:w="7920"/>
      </w:tblGrid>
      <w:tr>
        <w:tc>
          <w:tcPr/>
          <w:bookmarkStart w:id="92" w:name="tbl-temperature-model"/>
          <w:p>
            <w:pPr>
              <w:jc w:val="center"/>
            </w:pPr>
            <w:pPr>
              <w:jc w:val="left"/>
              <w:spacing w:before="200"/>
              <w:pStyle w:val="ImageCaption"/>
            </w:pPr>
            <w:r>
              <w:t xml:space="preserve">Table 9: Model summary for temperature effects on grasshopper density. Generalized additive model (GAM) with Tweedie family distribution examining whether temperature influences grasshopper density while accounting for region, mission, and farmer as random effects. Temperature was not significant, indicating that temperature does not meaningfully explain grasshopper density once region and mission timing are accounted for.</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Temperature Effects on Grasshopper Density</w:t>
            </w:r>
          </w:p>
          <w:p>
            <w:pPr>
              <w:spacing w:before="0" w:after="60"/>
              <w:keepNext/>
              <w:jc w:val="start"/>
              <w:pStyle w:val="caption"/>
            </w:pPr>
            <w:r>
              <w:rPr>
                <w:rFonts w:ascii="Calibri" w:hAnsi="Calibri"/>
                <w:sz w:val="20"/>
                <w:color w:val="333333"/>
              </w:rPr>
              <w:t xml:space="default">Smooth terms from GAM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EDF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Ref. 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s(temperature,region)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(random effect)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0.893</w:t>
                  </w:r>
                </w:p>
              </w:tc>
            </w:tr>
            <w:tr>
              <w:trPr>
                <w:cantSplit/>
              </w:trPr>
              <w:tc>
                <w:tcPr>
                  <w:gridSpan w:val="5"/>
                </w:tcPr>
                <w:p>
                  <w:pPr>
                    <w:spacing w:before="0" w:after="60"/>
                    <w:keepNext/>
                  </w:pPr>
                  <w:r>
                    <w:rPr>
                      <w:rFonts w:ascii="Calibri" w:hAnsi="Calibri"/>
                      <w:sz w:val="20"/>
                    </w:rPr>
                    <w:t xml:space="preserve">Model deviance explained: 34.4%. Analysis restricted to control plots only.</w:t>
                  </w:r>
                </w:p>
              </w:tc>
            </w:tr>
          </w:tbl>
          <w:bookmarkEnd w:id="92"/>
        </w:tc>
      </w:tr>
    </w:tbl>
    <w:bookmarkEnd w:id="93"/>
    <w:bookmarkStart w:id="123" w:name="model-summary-table"/>
    <w:p>
      <w:pPr>
        <w:pStyle w:val="Heading2"/>
      </w:pPr>
      <w:r>
        <w:t xml:space="preserve">4.7 Model Summary Table</w:t>
      </w:r>
    </w:p>
    <w:tbl>
      <w:tblPr>
        <w:tblStyle w:val="Table"/>
        <w:tblW w:type="pct" w:w="5000"/>
        <w:tblLayout w:type="fixed"/>
        <w:tblLook w:firstRow="0" w:lastRow="0" w:firstColumn="0" w:lastColumn="0" w:noHBand="0" w:noVBand="0" w:val="0000"/>
      </w:tblPr>
      <w:tblGrid>
        <w:gridCol w:w="7920"/>
      </w:tblGrid>
      <w:tr>
        <w:tc>
          <w:tcPr/>
          <w:bookmarkStart w:id="94" w:name="tbl-model-summary"/>
          <w:p>
            <w:pPr>
              <w:jc w:val="center"/>
            </w:pPr>
            <w:pPr>
              <w:jc w:val="left"/>
              <w:spacing w:before="200"/>
              <w:pStyle w:val="ImageCaption"/>
            </w:pPr>
            <w:r>
              <w:t xml:space="preserve">Table 10: Summary of all statistical models used in the analysis. For each model, the table shows the response variable, statistical family, random effects structure, and sample size (number of observations).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All Statistical Models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Response Variable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Statistical Family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Random Effects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Sample Size (n)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Density Mission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Grasshopper count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Poisson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Density Mission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Grasshopper count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Poisson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Density Mission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Grasshopper count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Poisson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Mission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percent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Mission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percent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Mission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Damage percent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Millet Yield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Yield (kg/ha)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Ground Cover Mediation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Grasshopper count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s(farmer, bs='re')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Ground Cover × Fertilizer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Ground cover percent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Gaussian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Farmer (1|farmer)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Temperature Effects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Grasshopper count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Tweedie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 s(region, bs='re'); Farmer s(farmer, bs='re'); Mission s(mission_number, bs='re')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624</w:t>
                  </w:r>
                </w:p>
              </w:tc>
            </w:tr>
            <w:tr>
              <w:trPr>
                <w:cantSplit/>
              </w:trPr>
              <w:tc>
                <w:tcPr>
                  <w:gridSpan w:val="5"/>
                </w:tcPr>
                <w:p>
                  <w:pPr>
                    <w:spacing w:before="0" w:after="60"/>
                    <w:keepNext/>
                  </w:pPr>
                  <w:r>
                    <w:rPr>
                      <w:b w:val="true"/>
                      <w:rFonts w:ascii="Calibri" w:hAnsi="Calibri"/>
                      <w:sz w:val="20"/>
                    </w:rPr>
                    <w:t xml:space="preserve">Note:</w:t>
                  </w:r>
                  <w:r>
                    <w:rPr>
                      <w:rFonts w:ascii="Calibri" w:hAnsi="Calibri"/>
                      <w:sz w:val="20"/>
                    </w:rPr>
                    <w:t xml:space="preserve"> All models include fixed effects for fertilizer treatment and region (and their interaction where applicable). Density models used separate analyses for each mission. GAM models used smooth terms s() with re (random effect) basis for random effects; GLMM models used standard random intercept notation (1|farmer).</w:t>
                  </w:r>
                </w:p>
              </w:tc>
            </w:tr>
          </w:tbl>
          <w:bookmarkEnd w:id="94"/>
        </w:tc>
      </w:tr>
    </w:tbl>
    <w:bookmarkStart w:id="122" w:name="refs"/>
    <w:bookmarkStart w:id="96" w:name="ref-brooks2017glmmtmb"/>
    <w:p>
      <w:pPr>
        <w:pStyle w:val="Bibliography"/>
      </w:pPr>
      <w:r>
        <w:t xml:space="preserve">Brooks, Mollie E., Kasper Kristensen, Koen J. van Benthem, et al. 2017.</w:t>
      </w:r>
      <w:r>
        <w:t xml:space="preserve"> </w:t>
      </w:r>
      <w:r>
        <w:t xml:space="preserve">“glmmTMB Balances Speed and Flexibility Among Packages for Zero-Inflated Generalized Linear Mixed Modeling.”</w:t>
      </w:r>
      <w:r>
        <w:t xml:space="preserve"> </w:t>
      </w:r>
      <w:r>
        <w:rPr>
          <w:i/>
          <w:iCs/>
        </w:rPr>
        <w:t xml:space="preserve">The R Journal</w:t>
      </w:r>
      <w:r>
        <w:t xml:space="preserve"> </w:t>
      </w:r>
      <w:r>
        <w:t xml:space="preserve">9 (2): 378–400.</w:t>
      </w:r>
      <w:r>
        <w:t xml:space="preserve"> </w:t>
      </w:r>
      <w:hyperlink r:id="rId95">
        <w:r>
          <w:rPr>
            <w:rStyle w:val="Hyperlink"/>
          </w:rPr>
          <w:t xml:space="preserve">https://doi.org/10.32614/RJ-2017-066</w:t>
        </w:r>
      </w:hyperlink>
      <w:r>
        <w:t xml:space="preserve">.</w:t>
      </w:r>
    </w:p>
    <w:bookmarkEnd w:id="96"/>
    <w:bookmarkStart w:id="98" w:name="ref-funk2015climate"/>
    <w:p>
      <w:pPr>
        <w:pStyle w:val="Bibliography"/>
      </w:pPr>
      <w:r>
        <w:t xml:space="preserve">Funk, C., P. Peterson, M. Landsfeld, et al. 2015.</w:t>
      </w:r>
      <w:r>
        <w:t xml:space="preserve"> </w:t>
      </w:r>
      <w:r>
        <w:t xml:space="preserve">“The Climate Hazards Infrared Precipitation with Stations—a New Environmental Record for Monitoring Extremes.”</w:t>
      </w:r>
      <w:r>
        <w:t xml:space="preserve"> </w:t>
      </w:r>
      <w:r>
        <w:rPr>
          <w:i/>
          <w:iCs/>
        </w:rPr>
        <w:t xml:space="preserve">Scientific Data</w:t>
      </w:r>
      <w:r>
        <w:t xml:space="preserve"> </w:t>
      </w:r>
      <w:r>
        <w:t xml:space="preserve">2: 150066.</w:t>
      </w:r>
      <w:r>
        <w:t xml:space="preserve"> </w:t>
      </w:r>
      <w:hyperlink r:id="rId97">
        <w:r>
          <w:rPr>
            <w:rStyle w:val="Hyperlink"/>
          </w:rPr>
          <w:t xml:space="preserve">https://doi.org/10.1038/sdata.2015.66</w:t>
        </w:r>
      </w:hyperlink>
      <w:r>
        <w:t xml:space="preserve">.</w:t>
      </w:r>
    </w:p>
    <w:bookmarkEnd w:id="98"/>
    <w:bookmarkStart w:id="100" w:name="ref-gorelick2017google"/>
    <w:p>
      <w:pPr>
        <w:pStyle w:val="Bibliography"/>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218: 27–37.</w:t>
      </w:r>
      <w:r>
        <w:t xml:space="preserve"> </w:t>
      </w:r>
      <w:hyperlink r:id="rId99">
        <w:r>
          <w:rPr>
            <w:rStyle w:val="Hyperlink"/>
          </w:rPr>
          <w:t xml:space="preserve">https://doi.org/10.1016/j.rse.2017.06.031</w:t>
        </w:r>
      </w:hyperlink>
      <w:r>
        <w:t xml:space="preserve">.</w:t>
      </w:r>
    </w:p>
    <w:bookmarkEnd w:id="100"/>
    <w:bookmarkStart w:id="102" w:name="ref-hartig2024dharma"/>
    <w:p>
      <w:pPr>
        <w:pStyle w:val="Bibliography"/>
      </w:pPr>
      <w:r>
        <w:t xml:space="preserve">Hartig, Florian. 2024.</w:t>
      </w:r>
      <w:r>
        <w:t xml:space="preserve"> </w:t>
      </w:r>
      <w:r>
        <w:rPr>
          <w:i/>
          <w:iCs/>
        </w:rPr>
        <w:t xml:space="preserve">DHARMa: Residual Diagnostics for Hierarchical (Multi-Level / Mixed) Regression Models</w:t>
      </w:r>
      <w:r>
        <w:t xml:space="preserve">.</w:t>
      </w:r>
      <w:r>
        <w:t xml:space="preserve"> </w:t>
      </w:r>
      <w:hyperlink r:id="rId101">
        <w:r>
          <w:rPr>
            <w:rStyle w:val="Hyperlink"/>
          </w:rPr>
          <w:t xml:space="preserve">https://CRAN.R-project.org/package=DHARMa</w:t>
        </w:r>
      </w:hyperlink>
      <w:r>
        <w:t xml:space="preserve">.</w:t>
      </w:r>
    </w:p>
    <w:bookmarkEnd w:id="102"/>
    <w:bookmarkStart w:id="104" w:name="ref-hernangomez2023tidyterra"/>
    <w:p>
      <w:pPr>
        <w:pStyle w:val="Bibliography"/>
      </w:pPr>
      <w:r>
        <w:t xml:space="preserve">Hernangómez, Diego. 2023.</w:t>
      </w:r>
      <w:r>
        <w:t xml:space="preserve"> </w:t>
      </w:r>
      <w:r>
        <w:t xml:space="preserve">“Using the Tidyverse with Terra Objects: The Tidyterra Package.”</w:t>
      </w:r>
      <w:r>
        <w:t xml:space="preserve"> </w:t>
      </w:r>
      <w:r>
        <w:rPr>
          <w:i/>
          <w:iCs/>
        </w:rPr>
        <w:t xml:space="preserve">Journal of Open Source Software</w:t>
      </w:r>
      <w:r>
        <w:t xml:space="preserve"> </w:t>
      </w:r>
      <w:r>
        <w:t xml:space="preserve">8 (91): 5751.</w:t>
      </w:r>
      <w:r>
        <w:t xml:space="preserve"> </w:t>
      </w:r>
      <w:hyperlink r:id="rId103">
        <w:r>
          <w:rPr>
            <w:rStyle w:val="Hyperlink"/>
          </w:rPr>
          <w:t xml:space="preserve">https://doi.org/10.21105/joss.05751</w:t>
        </w:r>
      </w:hyperlink>
      <w:r>
        <w:t xml:space="preserve">.</w:t>
      </w:r>
    </w:p>
    <w:bookmarkEnd w:id="104"/>
    <w:bookmarkStart w:id="106" w:name="ref-hijmans2025terra"/>
    <w:p>
      <w:pPr>
        <w:pStyle w:val="Bibliography"/>
      </w:pPr>
      <w:r>
        <w:t xml:space="preserve">Hijmans, Robert J. 2025.</w:t>
      </w:r>
      <w:r>
        <w:t xml:space="preserve"> </w:t>
      </w:r>
      <w:r>
        <w:rPr>
          <w:i/>
          <w:iCs/>
        </w:rPr>
        <w:t xml:space="preserve">Terra: Spatial Data Analysis</w:t>
      </w:r>
      <w:r>
        <w:t xml:space="preserve">.</w:t>
      </w:r>
      <w:r>
        <w:t xml:space="preserve"> </w:t>
      </w:r>
      <w:hyperlink r:id="rId105">
        <w:r>
          <w:rPr>
            <w:rStyle w:val="Hyperlink"/>
          </w:rPr>
          <w:t xml:space="preserve">https://rspatial.org/</w:t>
        </w:r>
      </w:hyperlink>
      <w:r>
        <w:t xml:space="preserve">.</w:t>
      </w:r>
    </w:p>
    <w:bookmarkEnd w:id="106"/>
    <w:bookmarkStart w:id="108" w:name="ref-lenth2025emmeans"/>
    <w:p>
      <w:pPr>
        <w:pStyle w:val="Bibliography"/>
      </w:pPr>
      <w:r>
        <w:t xml:space="preserve">Lenth, Russell V., and Julia Piaskowski. 2025.</w:t>
      </w:r>
      <w:r>
        <w:t xml:space="preserve"> </w:t>
      </w:r>
      <w:r>
        <w:rPr>
          <w:i/>
          <w:iCs/>
        </w:rPr>
        <w:t xml:space="preserve">Emmeans: Estimated Marginal Means, Aka Least-Squares Means</w:t>
      </w:r>
      <w:r>
        <w:t xml:space="preserve">.</w:t>
      </w:r>
      <w:r>
        <w:t xml:space="preserve"> </w:t>
      </w:r>
      <w:hyperlink r:id="rId107">
        <w:r>
          <w:rPr>
            <w:rStyle w:val="Hyperlink"/>
          </w:rPr>
          <w:t xml:space="preserve">https://rvlenth.github.io/emmeans/</w:t>
        </w:r>
      </w:hyperlink>
      <w:r>
        <w:t xml:space="preserve">.</w:t>
      </w:r>
    </w:p>
    <w:bookmarkEnd w:id="108"/>
    <w:bookmarkStart w:id="110" w:name="ref-massicotte2025rnaturalearth"/>
    <w:p>
      <w:pPr>
        <w:pStyle w:val="Bibliography"/>
      </w:pPr>
      <w:r>
        <w:t xml:space="preserve">Massicotte, Philippe, and Andy South. 2025.</w:t>
      </w:r>
      <w:r>
        <w:t xml:space="preserve"> </w:t>
      </w:r>
      <w:r>
        <w:rPr>
          <w:i/>
          <w:iCs/>
        </w:rPr>
        <w:t xml:space="preserve">Rnaturalearth: World Map Data from Natural Earth</w:t>
      </w:r>
      <w:r>
        <w:t xml:space="preserve">.</w:t>
      </w:r>
      <w:r>
        <w:t xml:space="preserve"> </w:t>
      </w:r>
      <w:hyperlink r:id="rId109">
        <w:r>
          <w:rPr>
            <w:rStyle w:val="Hyperlink"/>
          </w:rPr>
          <w:t xml:space="preserve">https://docs.ropensci.org/rnaturalearth/</w:t>
        </w:r>
      </w:hyperlink>
      <w:r>
        <w:t xml:space="preserve">.</w:t>
      </w:r>
    </w:p>
    <w:bookmarkEnd w:id="110"/>
    <w:bookmarkStart w:id="112" w:name="ref-mcgillycuddy2025parsimoniously"/>
    <w:p>
      <w:pPr>
        <w:pStyle w:val="Bibliography"/>
      </w:pPr>
      <w:r>
        <w:t xml:space="preserve">McGillycuddy, M., D. I. Warton, G. Popovic, and B. M. Bolker. 2025.</w:t>
      </w:r>
      <w:r>
        <w:t xml:space="preserve"> </w:t>
      </w:r>
      <w:r>
        <w:t xml:space="preserve">“Parsimoniously Fitting Large Multivariate Random Effects in glmmTMB.”</w:t>
      </w:r>
      <w:r>
        <w:t xml:space="preserve"> </w:t>
      </w:r>
      <w:r>
        <w:rPr>
          <w:i/>
          <w:iCs/>
        </w:rPr>
        <w:t xml:space="preserve">Journal of Statistical Software</w:t>
      </w:r>
      <w:r>
        <w:t xml:space="preserve"> </w:t>
      </w:r>
      <w:r>
        <w:t xml:space="preserve">112 (1): 1–19.</w:t>
      </w:r>
      <w:r>
        <w:t xml:space="preserve"> </w:t>
      </w:r>
      <w:hyperlink r:id="rId111">
        <w:r>
          <w:rPr>
            <w:rStyle w:val="Hyperlink"/>
          </w:rPr>
          <w:t xml:space="preserve">https://doi.org/10.18637/jss.v112.i01</w:t>
        </w:r>
      </w:hyperlink>
      <w:r>
        <w:t xml:space="preserve">.</w:t>
      </w:r>
    </w:p>
    <w:bookmarkEnd w:id="112"/>
    <w:bookmarkStart w:id="114" w:name="ref-simpson2024gratia"/>
    <w:p>
      <w:pPr>
        <w:pStyle w:val="Bibliography"/>
      </w:pPr>
      <w:r>
        <w:t xml:space="preserve">Simpson, Gavin L. 2024.</w:t>
      </w:r>
      <w:r>
        <w:t xml:space="preserve"> </w:t>
      </w:r>
      <w:r>
        <w:t xml:space="preserve">“Gratia: An r Package for Exploring Generalized Additive Models.”</w:t>
      </w:r>
      <w:r>
        <w:t xml:space="preserve"> </w:t>
      </w:r>
      <w:r>
        <w:rPr>
          <w:i/>
          <w:iCs/>
        </w:rPr>
        <w:t xml:space="preserve">Journal of Open Source Software</w:t>
      </w:r>
      <w:r>
        <w:t xml:space="preserve"> </w:t>
      </w:r>
      <w:r>
        <w:t xml:space="preserve">9 (104): 6962.</w:t>
      </w:r>
      <w:r>
        <w:t xml:space="preserve"> </w:t>
      </w:r>
      <w:hyperlink r:id="rId113">
        <w:r>
          <w:rPr>
            <w:rStyle w:val="Hyperlink"/>
          </w:rPr>
          <w:t xml:space="preserve">https://doi.org/10.21105/joss.06962</w:t>
        </w:r>
      </w:hyperlink>
      <w:r>
        <w:t xml:space="preserve">.</w:t>
      </w:r>
    </w:p>
    <w:bookmarkEnd w:id="114"/>
    <w:bookmarkStart w:id="116" w:name="ref-wickham2016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15">
        <w:r>
          <w:rPr>
            <w:rStyle w:val="Hyperlink"/>
          </w:rPr>
          <w:t xml:space="preserve">https://ggplot2.tidyverse.org</w:t>
        </w:r>
      </w:hyperlink>
      <w:r>
        <w:t xml:space="preserve">.</w:t>
      </w:r>
    </w:p>
    <w:bookmarkEnd w:id="116"/>
    <w:bookmarkStart w:id="118" w:name="ref-wickham2019tidyverse"/>
    <w:p>
      <w:pPr>
        <w:pStyle w:val="Bibliography"/>
      </w:pPr>
      <w:r>
        <w:t xml:space="preserve">Wickham, Hadley, Mara Averick, Jennifer Bryan, et al. 2019.</w:t>
      </w:r>
      <w:r>
        <w:t xml:space="preserve"> </w:t>
      </w:r>
      <w:r>
        <w:t xml:space="preserve">“Welcome to the Tidyverse.”</w:t>
      </w:r>
      <w:r>
        <w:t xml:space="preserve"> </w:t>
      </w:r>
      <w:r>
        <w:rPr>
          <w:i/>
          <w:iCs/>
        </w:rPr>
        <w:t xml:space="preserve">Journal of Open Source Software</w:t>
      </w:r>
      <w:r>
        <w:t xml:space="preserve"> </w:t>
      </w:r>
      <w:r>
        <w:t xml:space="preserve">4 (43): 1686.</w:t>
      </w:r>
      <w:r>
        <w:t xml:space="preserve"> </w:t>
      </w:r>
      <w:hyperlink r:id="rId117">
        <w:r>
          <w:rPr>
            <w:rStyle w:val="Hyperlink"/>
          </w:rPr>
          <w:t xml:space="preserve">https://doi.org/10.21105/joss.01686</w:t>
        </w:r>
      </w:hyperlink>
      <w:r>
        <w:t xml:space="preserve">.</w:t>
      </w:r>
    </w:p>
    <w:bookmarkEnd w:id="118"/>
    <w:bookmarkStart w:id="119" w:name="ref-wood2004stable"/>
    <w:p>
      <w:pPr>
        <w:pStyle w:val="Bibliography"/>
      </w:pPr>
      <w:r>
        <w:t xml:space="preserve">Wood, S. N. 2004.</w:t>
      </w:r>
      <w:r>
        <w:t xml:space="preserve"> </w:t>
      </w:r>
      <w:r>
        <w:t xml:space="preserve">“Stable and Efficient Multiple Smoothing Parameter Estimation for Generalized Additive Models.”</w:t>
      </w:r>
      <w:r>
        <w:t xml:space="preserve"> </w:t>
      </w:r>
      <w:r>
        <w:rPr>
          <w:i/>
          <w:iCs/>
        </w:rPr>
        <w:t xml:space="preserve">Journal of the American Statistical Association</w:t>
      </w:r>
      <w:r>
        <w:t xml:space="preserve"> </w:t>
      </w:r>
      <w:r>
        <w:t xml:space="preserve">99 (467): 673–86.</w:t>
      </w:r>
    </w:p>
    <w:bookmarkEnd w:id="119"/>
    <w:bookmarkStart w:id="120" w:name="ref-wood2011fast"/>
    <w:p>
      <w:pPr>
        <w:pStyle w:val="Bibliography"/>
      </w:pPr>
      <w:r>
        <w:t xml:space="preserve">Wood, S. N. 2011.</w:t>
      </w:r>
      <w:r>
        <w:t xml:space="preserve"> </w:t>
      </w:r>
      <w:r>
        <w:t xml:space="preserve">“Fast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 </w:t>
      </w:r>
      <w:r>
        <w:t xml:space="preserve">73 (1): 3–36.</w:t>
      </w:r>
    </w:p>
    <w:bookmarkEnd w:id="120"/>
    <w:bookmarkStart w:id="121" w:name="ref-wood2017generalized"/>
    <w:p>
      <w:pPr>
        <w:pStyle w:val="Bibliography"/>
      </w:pPr>
      <w:r>
        <w:t xml:space="preserve">Wood, S. N. 2017.</w:t>
      </w:r>
      <w:r>
        <w:t xml:space="preserve"> </w:t>
      </w:r>
      <w:r>
        <w:rPr>
          <w:i/>
          <w:iCs/>
        </w:rPr>
        <w:t xml:space="preserve">Generalized Additive Models: An Introduction with r</w:t>
      </w:r>
      <w:r>
        <w:t xml:space="preserve">. 2nd ed. Chapman; Hall/CRC.</w:t>
      </w:r>
    </w:p>
    <w:bookmarkEnd w:id="121"/>
    <w:bookmarkEnd w:id="122"/>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46" Target="media/rId46.png" /><Relationship Type="http://schemas.openxmlformats.org/officeDocument/2006/relationships/hyperlink" Id="rId101" Target="https://CRAN.R-project.org/package=DHARMa" TargetMode="External" /><Relationship Type="http://schemas.openxmlformats.org/officeDocument/2006/relationships/hyperlink" Id="rId109" Target="https://docs.ropensci.org/rnaturalearth/" TargetMode="External" /><Relationship Type="http://schemas.openxmlformats.org/officeDocument/2006/relationships/hyperlink" Id="rId99" Target="https://doi.org/10.1016/j.rse.2017.06.031" TargetMode="External" /><Relationship Type="http://schemas.openxmlformats.org/officeDocument/2006/relationships/hyperlink" Id="rId97" Target="https://doi.org/10.1038/sdata.2015.66" TargetMode="External" /><Relationship Type="http://schemas.openxmlformats.org/officeDocument/2006/relationships/hyperlink" Id="rId111" Target="https://doi.org/10.18637/jss.v112.i01" TargetMode="External" /><Relationship Type="http://schemas.openxmlformats.org/officeDocument/2006/relationships/hyperlink" Id="rId117" Target="https://doi.org/10.21105/joss.01686" TargetMode="External" /><Relationship Type="http://schemas.openxmlformats.org/officeDocument/2006/relationships/hyperlink" Id="rId103" Target="https://doi.org/10.21105/joss.05751" TargetMode="External" /><Relationship Type="http://schemas.openxmlformats.org/officeDocument/2006/relationships/hyperlink" Id="rId113" Target="https://doi.org/10.21105/joss.06962" TargetMode="External" /><Relationship Type="http://schemas.openxmlformats.org/officeDocument/2006/relationships/hyperlink" Id="rId95" Target="https://doi.org/10.32614/RJ-2017-066" TargetMode="External" /><Relationship Type="http://schemas.openxmlformats.org/officeDocument/2006/relationships/hyperlink" Id="rId115" Target="https://ggplot2.tidyverse.org" TargetMode="External" /><Relationship Type="http://schemas.openxmlformats.org/officeDocument/2006/relationships/hyperlink" Id="rId9" Target="https://github.com/ddlawton/OSE-Range-Analysis" TargetMode="External" /><Relationship Type="http://schemas.openxmlformats.org/officeDocument/2006/relationships/hyperlink" Id="rId105" Target="https://rspatial.org/" TargetMode="External" /><Relationship Type="http://schemas.openxmlformats.org/officeDocument/2006/relationships/hyperlink" Id="rId107" Target="https://rvlenth.github.io/emmeans/" TargetMode="External" /></Relationships>
</file>

<file path=word/_rels/footnotes.xml.rels><?xml version="1.0" encoding="UTF-8"?><Relationships xmlns="http://schemas.openxmlformats.org/package/2006/relationships"><Relationship Type="http://schemas.openxmlformats.org/officeDocument/2006/relationships/hyperlink" Id="rId101" Target="https://CRAN.R-project.org/package=DHARMa" TargetMode="External" /><Relationship Type="http://schemas.openxmlformats.org/officeDocument/2006/relationships/hyperlink" Id="rId109" Target="https://docs.ropensci.org/rnaturalearth/" TargetMode="External" /><Relationship Type="http://schemas.openxmlformats.org/officeDocument/2006/relationships/hyperlink" Id="rId99" Target="https://doi.org/10.1016/j.rse.2017.06.031" TargetMode="External" /><Relationship Type="http://schemas.openxmlformats.org/officeDocument/2006/relationships/hyperlink" Id="rId97" Target="https://doi.org/10.1038/sdata.2015.66" TargetMode="External" /><Relationship Type="http://schemas.openxmlformats.org/officeDocument/2006/relationships/hyperlink" Id="rId111" Target="https://doi.org/10.18637/jss.v112.i01" TargetMode="External" /><Relationship Type="http://schemas.openxmlformats.org/officeDocument/2006/relationships/hyperlink" Id="rId117" Target="https://doi.org/10.21105/joss.01686" TargetMode="External" /><Relationship Type="http://schemas.openxmlformats.org/officeDocument/2006/relationships/hyperlink" Id="rId103" Target="https://doi.org/10.21105/joss.05751" TargetMode="External" /><Relationship Type="http://schemas.openxmlformats.org/officeDocument/2006/relationships/hyperlink" Id="rId113" Target="https://doi.org/10.21105/joss.06962" TargetMode="External" /><Relationship Type="http://schemas.openxmlformats.org/officeDocument/2006/relationships/hyperlink" Id="rId95" Target="https://doi.org/10.32614/RJ-2017-066" TargetMode="External" /><Relationship Type="http://schemas.openxmlformats.org/officeDocument/2006/relationships/hyperlink" Id="rId115" Target="https://ggplot2.tidyverse.org" TargetMode="External" /><Relationship Type="http://schemas.openxmlformats.org/officeDocument/2006/relationships/hyperlink" Id="rId9" Target="https://github.com/ddlawton/OSE-Range-Analysis" TargetMode="External" /><Relationship Type="http://schemas.openxmlformats.org/officeDocument/2006/relationships/hyperlink" Id="rId105" Target="https://rspatial.org/" TargetMode="External" /><Relationship Type="http://schemas.openxmlformats.org/officeDocument/2006/relationships/hyperlink" Id="rId107" Target="https://rvlenth.github.io/emme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Methods and Results for grasshopper Range Analysis</dc:title>
  <dc:creator/>
  <cp:keywords/>
  <dcterms:created xsi:type="dcterms:W3CDTF">2026-09-10T19:19:34Z</dcterms:created>
  <dcterms:modified xsi:type="dcterms:W3CDTF">2026-09-10T19:19:34Z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omments">
    <vt:lpwstr/>
  </property>
  <property fmtid="{D5CDD505-2E9C-101B-9397-08002B2CF9AE}" pid="5" name="date">
    <vt:lpwstr>2026-09-10</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Effects of fertilizer treatment on Senegalese grasshopper (Oedaleus senegalensis) density, crop damage, and millet yield</vt:lpwstr>
  </property>
  <property fmtid="{D5CDD505-2E9C-101B-9397-08002B2CF9AE}" pid="13" name="toc-title">
    <vt:lpwstr>Table of contents</vt:lpwstr>
  </property>
</Properties>
</file>