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0.093) to highly significant by late season (Mission 3: estimate = -1.374,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-2.384, p &lt; 0.001;</w:t>
      </w:r>
      <w:r>
        <w:t xml:space="preserve"> </w:t>
      </w:r>
      <w:hyperlink w:anchor="tbl-ose-damage-models">
        <w:r>
          <w:rPr>
            <w:rStyle w:val="Hyperlink"/>
          </w:rPr>
          <w:t xml:space="preserve">Table 4</w:t>
        </w:r>
      </w:hyperlink>
      <w:r>
        <w:t xml:space="preserve">). Control fields had 3–11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0.603,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64%;</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0.518</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9.999e-01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9.997e-01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1.695303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3.387153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80.016106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r>
            <w:tr>
              <w:trPr>
                <w:cantSplit/>
              </w:trPr>
              <w:tc>
                <w:tcPr>
                  <w:gridSpan w:val="7"/>
                </w:tcPr>
                <w:p>
                  <w:pPr>
                    <w:spacing w:before="0" w:after="60"/>
                    <w:keepNext/>
                  </w:pPr>
                  <w:r>
                    <w:rPr>
                      <w:rFonts w:ascii="Calibri" w:hAnsi="Calibri"/>
                      <w:sz w:val="20"/>
                    </w:rPr>
                    <w:t xml:space="preserve">Model deviance explained: 64.2%</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0.788</w:t>
                  </w:r>
                </w:p>
              </w:tc>
            </w:tr>
            <w:tr>
              <w:trPr>
                <w:cantSplit/>
              </w:trPr>
              <w:tc>
                <w:tcPr>
                  <w:gridSpan w:val="5"/>
                </w:tcPr>
                <w:p>
                  <w:pPr>
                    <w:spacing w:before="0" w:after="60"/>
                    <w:keepNext/>
                  </w:pPr>
                  <w:r>
                    <w:rPr>
                      <w:rFonts w:ascii="Calibri" w:hAnsi="Calibri"/>
                      <w:sz w:val="20"/>
                    </w:rPr>
                    <w:t xml:space="preserve">Model deviance explained: 23.8%.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2026-05-25T14:19:34Z</dcterms:created>
  <dcterms:modified xsi:type="dcterms:W3CDTF">2026-05-25T14:19:34Z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2026-05-25</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Effects of fertilizer treatment on Senegalese grasshopper (Oedaleus senegalensis) density, crop damage, and millet yield</vt:lpwstr>
  </property>
  <property fmtid="{D5CDD505-2E9C-101B-9397-08002B2CF9AE}" pid="14" name="toc-title">
    <vt:lpwstr>Table of contents</vt:lpwstr>
  </property>
</Properties>
</file>