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9.png" ContentType="image/png"/>
  <Override PartName="/word/media/rId26.png" ContentType="image/png"/>
  <Override PartName="/word/media/rId22.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Methods and Results</w:t>
      </w:r>
    </w:p>
    <w:p>
      <w:pPr>
        <w:pStyle w:val="Author"/>
      </w:pPr>
      <w:r>
        <w:t xml:space="preserve">Douglas Lawton</w:t>
      </w:r>
    </w:p>
    <w:p>
      <w:pPr>
        <w:pStyle w:val="Date"/>
      </w:pPr>
      <w:r>
        <w:t xml:space="preserve">2026-05-25</w:t>
      </w:r>
    </w:p>
    <w:tbl>
      <w:tblPr>
        <w:tblStyle w:val="Table"/>
        <w:tblW w:type="pct" w:w="5000"/>
        <w:tblLayout w:type="fixed"/>
        <w:tblLook w:firstRow="0" w:lastRow="0" w:firstColumn="0" w:lastColumn="0" w:noHBand="0" w:noVBand="0" w:val="0000"/>
      </w:tblPr>
      <w:tblGrid>
        <w:gridCol w:w="7920"/>
      </w:tblGrid>
      <w:tr>
        <w:tc>
          <w:tcPr/>
          <w:bookmarkStart w:id="13" w:name="fig-hypothesis"/>
          <w:p>
            <w:pPr>
              <w:pStyle w:val="Compact"/>
              <w:jc w:val="center"/>
            </w:pPr>
            <w:bookmarkStart w:id="12" w:name="fig-hypothesis"/>
            <w:r>
              <w:drawing>
                <wp:inline>
                  <wp:extent cx="5334000" cy="3879272"/>
                  <wp:effectExtent b="0" l="0" r="0" t="0"/>
                  <wp:docPr descr="" title="" id="10" name="Picture"/>
                  <a:graphic>
                    <a:graphicData uri="http://schemas.openxmlformats.org/drawingml/2006/picture">
                      <pic:pic>
                        <pic:nvPicPr>
                          <pic:cNvPr descr="manuscript_figures_and_text_files/figure-docx/fig-hypothesis-1.png" id="11" name="Picture"/>
                          <pic:cNvPicPr>
                            <a:picLocks noChangeArrowheads="1" noChangeAspect="1"/>
                          </pic:cNvPicPr>
                        </pic:nvPicPr>
                        <pic:blipFill>
                          <a:blip r:embed="rId9"/>
                          <a:stretch>
                            <a:fillRect/>
                          </a:stretch>
                        </pic:blipFill>
                        <pic:spPr bwMode="auto">
                          <a:xfrm>
                            <a:off x="0" y="0"/>
                            <a:ext cx="5334000" cy="3879272"/>
                          </a:xfrm>
                          <a:prstGeom prst="rect">
                            <a:avLst/>
                          </a:prstGeom>
                          <a:noFill/>
                          <a:ln w="9525">
                            <a:noFill/>
                            <a:headEnd/>
                            <a:tailEnd/>
                          </a:ln>
                        </pic:spPr>
                      </pic:pic>
                    </a:graphicData>
                  </a:graphic>
                </wp:inline>
              </w:drawing>
            </w:r>
            <w:bookmarkEnd w:id="12"/>
          </w:p>
          <w:p>
            <w:pPr>
              <w:jc w:val="center"/>
            </w:pPr>
            <w:pPr>
              <w:jc w:val="left"/>
              <w:spacing w:before="200"/>
              <w:pStyle w:val="ImageCaption"/>
            </w:pPr>
            <w:r>
              <w:t xml:space="preserve">Figure 1: The hypothesized facilitative effects of pika on yak in the Tibetan Plateau. In the absence of pika, the poisonous Stellera chamaejasme forbs should exert a strong negative effect on yak growth performance by competing with the palatable grasses and sedges, decreasing their food availability and foraging efficiency (Fig. 1a). However, such negative effects of poisonous plants should be mitigated in the presence of pika, whom eliminate S. chamaejasme forbs by their feeding and clipping activities, leading to a facilitative effect on yak (Fig. 1b). The negative effects of poisonous plants on yak were indicated as black dashed lines, the competition between plant groups were indicated by the black solid lines, and the pathway that pika suppress poisonous plants was indicated by red solid line. The sizes of the lines indicate the strengths of species interactions. Credits: Xiaona Zheng (photographs).</w:t>
            </w:r>
          </w:p>
          <w:bookmarkEnd w:id="13"/>
        </w:tc>
      </w:tr>
    </w:tbl>
    <w:bookmarkStart w:id="16" w:name="methods"/>
    <w:p>
      <w:pPr>
        <w:pStyle w:val="Heading1"/>
      </w:pPr>
      <w:r>
        <w:t xml:space="preserve">1. Methods</w:t>
      </w:r>
    </w:p>
    <w:bookmarkStart w:id="15" w:name="statistical-analyses"/>
    <w:p>
      <w:pPr>
        <w:pStyle w:val="Heading2"/>
      </w:pPr>
      <w:r>
        <w:t xml:space="preserve">1.1 Statistical analyses</w:t>
      </w:r>
    </w:p>
    <w:p>
      <w:pPr>
        <w:pStyle w:val="FirstParagraph"/>
      </w:pPr>
      <w:r>
        <w:t xml:space="preserve">All data were analyzed using linear models, generalized linear mixed models, or generalized additive models, with the choice of model and statistical family guided by the structure and distribution of the data. Posthoc comparisons were conducted only when the pika × S. chamaejasme interaction term was significant. For the 2021 field surveys, we fit generalized linear mixed models with plot and month as random effects. We then used generalized additive mixed models for S. chamaejasme cover and active pika burrow density, with plot as a random effect, and linear regression models for dung density and S. chamaejasme cover. For the field manipulation experiments in 2022 and 2023, we constructed generalized linear mixed models with the dependent variables (e.g., grass bites per step, sedge bites, weight gain) regressed against the interactive effect of pika and S. chamaejasme treatments, while including block, year, and month as random effects to capture the hierarchical structure of the data. Models assumed gaussian, beta (for proportions), or tweedie (for non-normal data) distributions, selected based on data type and model fit. A significance threshold of P = 0.05 was applied, with TukeyHSD or Sidak posthoc tests used where appropriate. All data management, modeling, and visualization were carried out in R, with dependencies managed using</w:t>
      </w:r>
      <w:r>
        <w:t xml:space="preserve"> </w:t>
      </w:r>
      <w:r>
        <w:rPr>
          <w:i/>
          <w:iCs/>
        </w:rPr>
        <w:t xml:space="preserve">renv</w:t>
      </w:r>
      <w:r>
        <w:t xml:space="preserve">. The main modeling packages were</w:t>
      </w:r>
      <w:r>
        <w:t xml:space="preserve"> </w:t>
      </w:r>
      <w:r>
        <w:rPr>
          <w:i/>
          <w:iCs/>
        </w:rPr>
        <w:t xml:space="preserve">glmmTMB</w:t>
      </w:r>
      <w:r>
        <w:t xml:space="preserve"> </w:t>
      </w:r>
      <w:r>
        <w:t xml:space="preserve">and</w:t>
      </w:r>
      <w:r>
        <w:t xml:space="preserve"> </w:t>
      </w:r>
      <w:r>
        <w:rPr>
          <w:i/>
          <w:iCs/>
        </w:rPr>
        <w:t xml:space="preserve">mgcv</w:t>
      </w:r>
      <w:r>
        <w:t xml:space="preserve">, with</w:t>
      </w:r>
      <w:r>
        <w:t xml:space="preserve"> </w:t>
      </w:r>
      <w:r>
        <w:rPr>
          <w:i/>
          <w:iCs/>
        </w:rPr>
        <w:t xml:space="preserve">DHARMa</w:t>
      </w:r>
      <w:r>
        <w:t xml:space="preserve"> </w:t>
      </w:r>
      <w:r>
        <w:t xml:space="preserve">used for model diagnostics. Data management relied on the</w:t>
      </w:r>
      <w:r>
        <w:t xml:space="preserve"> </w:t>
      </w:r>
      <w:r>
        <w:rPr>
          <w:i/>
          <w:iCs/>
        </w:rPr>
        <w:t xml:space="preserve">tidyverse</w:t>
      </w:r>
      <w:r>
        <w:t xml:space="preserve"> </w:t>
      </w:r>
      <w:r>
        <w:t xml:space="preserve">suite of packages. A complete record of package versions is available in the renv.lock file in the repository:</w:t>
      </w:r>
      <w:r>
        <w:t xml:space="preserve"> </w:t>
      </w:r>
      <w:hyperlink r:id="rId14">
        <w:r>
          <w:rPr>
            <w:rStyle w:val="Hyperlink"/>
          </w:rPr>
          <w:t xml:space="preserve">https://github.com/ddlawton/pika_yak_interactions</w:t>
        </w:r>
      </w:hyperlink>
      <w:r>
        <w:t xml:space="preserve">.</w:t>
      </w:r>
    </w:p>
    <w:bookmarkEnd w:id="15"/>
    <w:bookmarkEnd w:id="16"/>
    <w:bookmarkStart w:id="31" w:name="results-and-discussion"/>
    <w:p>
      <w:pPr>
        <w:pStyle w:val="Heading1"/>
      </w:pPr>
      <w:r>
        <w:t xml:space="preserve">2. Results and Discussion</w:t>
      </w:r>
    </w:p>
    <w:p>
      <w:pPr>
        <w:pStyle w:val="FirstParagraph"/>
      </w:pPr>
      <w:r>
        <w:t xml:space="preserve">First, we carried out a set of field observational experiments to investigate diet selection by pika and yak, as well as the associations among pika abundance, S. chamaejasme abundance, and yak activity under natural field conditions. Consistent with previous studies</w:t>
      </w:r>
      <w:r>
        <w:rPr>
          <w:vertAlign w:val="superscript"/>
        </w:rPr>
        <w:t xml:space="preserve">5,11,24–25</w:t>
      </w:r>
      <w:r>
        <w:t xml:space="preserve">, we found that pika and yak have distinct diet preferences: yaks preferred grasses and sedges, while pika preferred the poisonous S. chamaejasme (</w:t>
      </w:r>
      <w:hyperlink w:anchor="fig-diet-selection">
        <w:r>
          <w:rPr>
            <w:rStyle w:val="Hyperlink"/>
          </w:rPr>
          <w:t xml:space="preserve">Figure 2</w:t>
        </w:r>
      </w:hyperlink>
      <w:r>
        <w:t xml:space="preserve"> </w:t>
      </w:r>
      <w:r>
        <w:t xml:space="preserve">A,B,</w:t>
      </w:r>
      <w:r>
        <w:t xml:space="preserve"> </w:t>
      </w:r>
      <w:hyperlink w:anchor="supptbl-pika-yak-feeding-model-summary">
        <w:r>
          <w:rPr>
            <w:rStyle w:val="Hyperlink"/>
          </w:rPr>
          <w:t xml:space="preserve">Supplementary Table 1</w:t>
        </w:r>
      </w:hyperlink>
      <w:r>
        <w:t xml:space="preserve">,</w:t>
      </w:r>
      <w:r>
        <w:t xml:space="preserve"> </w:t>
      </w:r>
      <w:hyperlink w:anchor="supptbl-pika-yak-feeding-model-contrast">
        <w:r>
          <w:rPr>
            <w:rStyle w:val="Hyperlink"/>
          </w:rPr>
          <w:t xml:space="preserve">Supplementary Table 2</w:t>
        </w:r>
      </w:hyperlink>
      <w:r>
        <w:t xml:space="preserve">). We also found that S. chamaejasme abundance was negatively associated with active pika burrow abundance (</w:t>
      </w:r>
      <w:hyperlink w:anchor="fig-diet-selection">
        <w:r>
          <w:rPr>
            <w:rStyle w:val="Hyperlink"/>
          </w:rPr>
          <w:t xml:space="preserve">Figure 2</w:t>
        </w:r>
      </w:hyperlink>
      <w:r>
        <w:t xml:space="preserve"> </w:t>
      </w:r>
      <w:r>
        <w:t xml:space="preserve">C,</w:t>
      </w:r>
      <w:r>
        <w:t xml:space="preserve"> </w:t>
      </w:r>
      <w:hyperlink w:anchor="supptbl-pika-burrow-chamaejasme-gam">
        <w:r>
          <w:rPr>
            <w:rStyle w:val="Hyperlink"/>
          </w:rPr>
          <w:t xml:space="preserve">Supplementary Table 4</w:t>
        </w:r>
      </w:hyperlink>
      <w:r>
        <w:t xml:space="preserve">) and with yak foraging activity, as indicated by dung density (</w:t>
      </w:r>
      <w:hyperlink w:anchor="fig-diet-selection">
        <w:r>
          <w:rPr>
            <w:rStyle w:val="Hyperlink"/>
          </w:rPr>
          <w:t xml:space="preserve">Figure 2</w:t>
        </w:r>
      </w:hyperlink>
      <w:r>
        <w:t xml:space="preserve"> </w:t>
      </w:r>
      <w:r>
        <w:t xml:space="preserve">D,</w:t>
      </w:r>
      <w:r>
        <w:t xml:space="preserve"> </w:t>
      </w:r>
      <w:hyperlink w:anchor="supptbl-dung-chamaejasme-lm">
        <w:r>
          <w:rPr>
            <w:rStyle w:val="Hyperlink"/>
          </w:rPr>
          <w:t xml:space="preserve">Supplementary Table 5</w:t>
        </w:r>
      </w:hyperlink>
      <w:r>
        <w:t xml:space="preserve">).</w:t>
      </w:r>
    </w:p>
    <w:p>
      <w:pPr>
        <w:pStyle w:val="BodyText"/>
      </w:pPr>
      <w:r>
        <w:t xml:space="preserve">Building on these results, we conducted an in-situ manipulative field experiment using fenced enclosures to test the interactive effects of pika and S. chamaejasme on yak weight gain, foraging quantity and quality, and grazing behavior. For weight gain, yaks gained less in poison-plant plots than in non-poison plots, and there was a significant interaction between pika and S. chamaejasme treatments (</w:t>
      </w:r>
      <w:hyperlink w:anchor="supptbl-yak-performance-model-summary">
        <w:r>
          <w:rPr>
            <w:rStyle w:val="Hyperlink"/>
          </w:rPr>
          <w:t xml:space="preserve">Supplementary Table 7</w:t>
        </w:r>
      </w:hyperlink>
      <w:r>
        <w:t xml:space="preserve">). When pika were present, yaks showed higher weight gain (</w:t>
      </w:r>
      <w:hyperlink w:anchor="supptbl-yak-performance-model-contrast">
        <w:r>
          <w:rPr>
            <w:rStyle w:val="Hyperlink"/>
          </w:rPr>
          <w:t xml:space="preserve">Supplementary Table 8</w:t>
        </w:r>
      </w:hyperlink>
      <w:r>
        <w:t xml:space="preserve">). This effect was driven by pika feeding on S. chamaejasme (</w:t>
      </w:r>
      <w:hyperlink w:anchor="fig-diet-selection">
        <w:r>
          <w:rPr>
            <w:rStyle w:val="Hyperlink"/>
          </w:rPr>
          <w:t xml:space="preserve">Figure 2</w:t>
        </w:r>
      </w:hyperlink>
      <w:r>
        <w:t xml:space="preserve"> </w:t>
      </w:r>
      <w:r>
        <w:t xml:space="preserve">B,</w:t>
      </w:r>
      <w:r>
        <w:t xml:space="preserve"> </w:t>
      </w:r>
      <w:hyperlink w:anchor="supptbl-yak-performance-model-summary">
        <w:r>
          <w:rPr>
            <w:rStyle w:val="Hyperlink"/>
          </w:rPr>
          <w:t xml:space="preserve">Supplementary Table 7</w:t>
        </w:r>
      </w:hyperlink>
      <w:r>
        <w:t xml:space="preserve">,</w:t>
      </w:r>
      <w:r>
        <w:t xml:space="preserve"> </w:t>
      </w:r>
      <w:hyperlink w:anchor="supptbl-yak-performance-model-contrast">
        <w:r>
          <w:rPr>
            <w:rStyle w:val="Hyperlink"/>
          </w:rPr>
          <w:t xml:space="preserve">Supplementary Table 8</w:t>
        </w:r>
      </w:hyperlink>
      <w:r>
        <w:t xml:space="preserve">), which increased grass cover (</w:t>
      </w:r>
      <w:hyperlink w:anchor="fig-diet-selection">
        <w:r>
          <w:rPr>
            <w:rStyle w:val="Hyperlink"/>
          </w:rPr>
          <w:t xml:space="preserve">Figure 2</w:t>
        </w:r>
      </w:hyperlink>
      <w:r>
        <w:t xml:space="preserve"> </w:t>
      </w:r>
      <w:r>
        <w:t xml:space="preserve">C,</w:t>
      </w:r>
      <w:r>
        <w:t xml:space="preserve"> </w:t>
      </w:r>
      <w:hyperlink w:anchor="supptbl-yak-performance-model-summary">
        <w:r>
          <w:rPr>
            <w:rStyle w:val="Hyperlink"/>
          </w:rPr>
          <w:t xml:space="preserve">Supplementary Table 7</w:t>
        </w:r>
      </w:hyperlink>
      <w:r>
        <w:t xml:space="preserve">,</w:t>
      </w:r>
      <w:r>
        <w:t xml:space="preserve"> </w:t>
      </w:r>
      <w:hyperlink w:anchor="supptbl-yak-performance-model-contrast">
        <w:r>
          <w:rPr>
            <w:rStyle w:val="Hyperlink"/>
          </w:rPr>
          <w:t xml:space="preserve">Supplementary Table 8</w:t>
        </w:r>
      </w:hyperlink>
      <w:r>
        <w:t xml:space="preserve">) compared to plots with S. chamaejasme but no pika.</w:t>
      </w:r>
    </w:p>
    <w:p>
      <w:pPr>
        <w:pStyle w:val="BodyText"/>
      </w:pPr>
      <w:r>
        <w:t xml:space="preserve">Food quantity and quality are key drivers of individual performance and population dynamics in large herbivores</w:t>
      </w:r>
      <w:r>
        <w:rPr>
          <w:vertAlign w:val="superscript"/>
        </w:rPr>
        <w:t xml:space="preserve">30–32</w:t>
      </w:r>
      <w:r>
        <w:t xml:space="preserve">. In the presence of</w:t>
      </w:r>
      <w:r>
        <w:t xml:space="preserve"> </w:t>
      </w:r>
      <w:r>
        <w:rPr>
          <w:i/>
          <w:iCs/>
        </w:rPr>
        <w:t xml:space="preserve">S. chamaejasme</w:t>
      </w:r>
      <w:r>
        <w:t xml:space="preserve"> </w:t>
      </w:r>
      <w:r>
        <w:t xml:space="preserve">forbs, pika doubled the cover of yak’s most preferred grasses (</w:t>
      </w:r>
      <w:hyperlink w:anchor="fig-diet-selection">
        <w:r>
          <w:rPr>
            <w:rStyle w:val="Hyperlink"/>
          </w:rPr>
          <w:t xml:space="preserve">Figure 2</w:t>
        </w:r>
      </w:hyperlink>
      <w:r>
        <w:t xml:space="preserve"> </w:t>
      </w:r>
      <w:r>
        <w:t xml:space="preserve">C,</w:t>
      </w:r>
      <w:r>
        <w:t xml:space="preserve"> </w:t>
      </w:r>
      <w:hyperlink w:anchor="supptbl-yak-performance-model-summary">
        <w:r>
          <w:rPr>
            <w:rStyle w:val="Hyperlink"/>
          </w:rPr>
          <w:t xml:space="preserve">Supplementary Table 7</w:t>
        </w:r>
      </w:hyperlink>
      <w:r>
        <w:t xml:space="preserve">,</w:t>
      </w:r>
      <w:r>
        <w:t xml:space="preserve"> </w:t>
      </w:r>
      <w:hyperlink w:anchor="supptbl-yak-performance-model-contrast">
        <w:r>
          <w:rPr>
            <w:rStyle w:val="Hyperlink"/>
          </w:rPr>
          <w:t xml:space="preserve">Supplementary Table 8</w:t>
        </w:r>
      </w:hyperlink>
      <w:r>
        <w:t xml:space="preserve">) and increased the crude protein content by approximately 15% (</w:t>
      </w:r>
      <w:hyperlink w:anchor="fig-yak-performance">
        <w:r>
          <w:rPr>
            <w:rStyle w:val="Hyperlink"/>
          </w:rPr>
          <w:t xml:space="preserve">Figure 3</w:t>
        </w:r>
      </w:hyperlink>
      <w:r>
        <w:t xml:space="preserve"> </w:t>
      </w:r>
      <w:r>
        <w:t xml:space="preserve">D,</w:t>
      </w:r>
      <w:r>
        <w:t xml:space="preserve"> </w:t>
      </w:r>
      <w:hyperlink w:anchor="supptbl-yak-performance-model-summary">
        <w:r>
          <w:rPr>
            <w:rStyle w:val="Hyperlink"/>
          </w:rPr>
          <w:t xml:space="preserve">Supplementary Table 7</w:t>
        </w:r>
      </w:hyperlink>
      <w:r>
        <w:t xml:space="preserve">,</w:t>
      </w:r>
      <w:r>
        <w:t xml:space="preserve"> </w:t>
      </w:r>
      <w:hyperlink w:anchor="supptbl-yak-performance-model-contrast">
        <w:r>
          <w:rPr>
            <w:rStyle w:val="Hyperlink"/>
          </w:rPr>
          <w:t xml:space="preserve">Supplementary Table 8</w:t>
        </w:r>
      </w:hyperlink>
      <w:r>
        <w:t xml:space="preserve">), suggesting that pika facilitate yak by enhancing both the quantity and quality of forage. Acid detergent fibre (6%) was higher in pika plots. These increases in grass abundance and forage quality were likely driven by the decline in poisonous plants induced by pika (</w:t>
      </w:r>
      <w:hyperlink w:anchor="fig-yak-performance">
        <w:r>
          <w:rPr>
            <w:rStyle w:val="Hyperlink"/>
          </w:rPr>
          <w:t xml:space="preserve">Figure 3</w:t>
        </w:r>
      </w:hyperlink>
      <w:r>
        <w:t xml:space="preserve"> </w:t>
      </w:r>
      <w:r>
        <w:t xml:space="preserve">B), which reduced interspecific competition for shared resources (e.g., light, soil moisture, nutrients) and allowed grasses to expand</w:t>
      </w:r>
      <w:r>
        <w:rPr>
          <w:vertAlign w:val="superscript"/>
        </w:rPr>
        <w:t xml:space="preserve">27–28</w:t>
      </w:r>
      <w:r>
        <w:t xml:space="preserve">. In the absence of S. chamaejasme forbs, however, the positive effects of pika on food resources and yak weight gain disappeared (</w:t>
      </w:r>
      <w:hyperlink w:anchor="fig-yak-performance">
        <w:r>
          <w:rPr>
            <w:rStyle w:val="Hyperlink"/>
          </w:rPr>
          <w:t xml:space="preserve">Figure 3</w:t>
        </w:r>
      </w:hyperlink>
      <w:r>
        <w:t xml:space="preserve"> </w:t>
      </w:r>
      <w:r>
        <w:t xml:space="preserve">A,C,D). The relationships between active burrow count and treatments, as well as between yak weight gain and burrow density, are presented in</w:t>
      </w:r>
      <w:r>
        <w:t xml:space="preserve"> </w:t>
      </w:r>
      <w:hyperlink w:anchor="fig-yak-performance">
        <w:r>
          <w:rPr>
            <w:rStyle w:val="Hyperlink"/>
          </w:rPr>
          <w:t xml:space="preserve">Figure 3</w:t>
        </w:r>
      </w:hyperlink>
      <w:r>
        <w:t xml:space="preserve"> </w:t>
      </w:r>
      <w:r>
        <w:t xml:space="preserve">(panels G and H) and in</w:t>
      </w:r>
      <w:r>
        <w:t xml:space="preserve"> </w:t>
      </w:r>
      <w:hyperlink w:anchor="supptbl-pika-burrow-count">
        <w:r>
          <w:rPr>
            <w:rStyle w:val="Hyperlink"/>
          </w:rPr>
          <w:t xml:space="preserve">Supplementary Table 3</w:t>
        </w:r>
      </w:hyperlink>
      <w:r>
        <w:t xml:space="preserve"> </w:t>
      </w:r>
      <w:r>
        <w:t xml:space="preserve">and</w:t>
      </w:r>
      <w:r>
        <w:t xml:space="preserve"> </w:t>
      </w:r>
      <w:hyperlink w:anchor="supptbl-weight-gain-burrow-regression">
        <w:r>
          <w:rPr>
            <w:rStyle w:val="Hyperlink"/>
          </w:rPr>
          <w:t xml:space="preserve">Supplementary Table 6</w:t>
        </w:r>
      </w:hyperlink>
      <w:r>
        <w:t xml:space="preserve">, respectively.</w:t>
      </w:r>
    </w:p>
    <w:p>
      <w:pPr>
        <w:pStyle w:val="BodyText"/>
      </w:pPr>
      <w:r>
        <w:t xml:space="preserve">Pika-yak facilitation was also linked to improved foraging efficiency in yak when grazing alongside pika. Optimal foraging theory predicts that animals minimize energy costs to exploit high-quality food items and maximize intake of digestible nutrients, thereby improving performance</w:t>
      </w:r>
      <w:r>
        <w:rPr>
          <w:vertAlign w:val="superscript"/>
        </w:rPr>
        <w:t xml:space="preserve">33</w:t>
      </w:r>
      <w:r>
        <w:t xml:space="preserve">. In ruminants, bite rate, step rate, and bites per step are key predictors of foraging efficiency</w:t>
      </w:r>
      <w:r>
        <w:rPr>
          <w:vertAlign w:val="superscript"/>
        </w:rPr>
        <w:t xml:space="preserve">34</w:t>
      </w:r>
      <w:r>
        <w:t xml:space="preserve"> </w:t>
      </w:r>
      <w:r>
        <w:t xml:space="preserve">and, ultimately, animal performance</w:t>
      </w:r>
      <w:r>
        <w:rPr>
          <w:vertAlign w:val="superscript"/>
        </w:rPr>
        <w:t xml:space="preserve">35</w:t>
      </w:r>
      <w:r>
        <w:t xml:space="preserve">. In the presence of</w:t>
      </w:r>
      <w:r>
        <w:t xml:space="preserve"> </w:t>
      </w:r>
      <w:r>
        <w:rPr>
          <w:i/>
          <w:iCs/>
        </w:rPr>
        <w:t xml:space="preserve">S. chamaejasme</w:t>
      </w:r>
      <w:r>
        <w:t xml:space="preserve"> </w:t>
      </w:r>
      <w:r>
        <w:t xml:space="preserve">forbs, yak sedge, and grass bite rates increased by roughly 48% (</w:t>
      </w:r>
      <w:hyperlink w:anchor="fig-yak-foraging-efficiency">
        <w:r>
          <w:rPr>
            <w:rStyle w:val="Hyperlink"/>
          </w:rPr>
          <w:t xml:space="preserve">Figure 4</w:t>
        </w:r>
      </w:hyperlink>
      <w:r>
        <w:t xml:space="preserve"> </w:t>
      </w:r>
      <w:r>
        <w:t xml:space="preserve">B), and 70% (</w:t>
      </w:r>
      <w:hyperlink w:anchor="fig-yak-foraging-efficiency">
        <w:r>
          <w:rPr>
            <w:rStyle w:val="Hyperlink"/>
          </w:rPr>
          <w:t xml:space="preserve">Figure 4</w:t>
        </w:r>
      </w:hyperlink>
      <w:r>
        <w:t xml:space="preserve"> </w:t>
      </w:r>
      <w:r>
        <w:t xml:space="preserve">C), respectively, in the treatment where they coexisted with pika (</w:t>
      </w:r>
      <w:hyperlink w:anchor="supptbl-yak-foraging-efficiency-summary">
        <w:r>
          <w:rPr>
            <w:rStyle w:val="Hyperlink"/>
          </w:rPr>
          <w:t xml:space="preserve">Supplementary Table 9</w:t>
        </w:r>
      </w:hyperlink>
      <w:r>
        <w:t xml:space="preserve">,</w:t>
      </w:r>
      <w:r>
        <w:t xml:space="preserve"> </w:t>
      </w:r>
      <w:hyperlink w:anchor="supptbl-yak-foraging-efficiency-contrast">
        <w:r>
          <w:rPr>
            <w:rStyle w:val="Hyperlink"/>
          </w:rPr>
          <w:t xml:space="preserve">Supplementary Table 10</w:t>
        </w:r>
      </w:hyperlink>
      <w:r>
        <w:t xml:space="preserve">). Yak stepped more often in the presence of</w:t>
      </w:r>
      <w:r>
        <w:t xml:space="preserve"> </w:t>
      </w:r>
      <w:r>
        <w:rPr>
          <w:i/>
          <w:iCs/>
        </w:rPr>
        <w:t xml:space="preserve">S. chamaejasme</w:t>
      </w:r>
      <w:r>
        <w:t xml:space="preserve"> </w:t>
      </w:r>
      <w:r>
        <w:t xml:space="preserve">forbs without pika, which meant they consumed more grasses and sedges per step in plots where pika were present.</w:t>
      </w:r>
    </w:p>
    <w:p>
      <w:pPr>
        <w:pStyle w:val="BodyText"/>
      </w:pPr>
      <w:r>
        <w:t xml:space="preserve">Sedge bites per step and grass bites per step increased significantly by 89% (</w:t>
      </w:r>
      <w:hyperlink w:anchor="fig-yak-foraging-efficiency">
        <w:r>
          <w:rPr>
            <w:rStyle w:val="Hyperlink"/>
          </w:rPr>
          <w:t xml:space="preserve">Figure 4</w:t>
        </w:r>
      </w:hyperlink>
      <w:r>
        <w:t xml:space="preserve"> </w:t>
      </w:r>
      <w:r>
        <w:t xml:space="preserve">E) and 70% (</w:t>
      </w:r>
      <w:hyperlink w:anchor="fig-yak-performance">
        <w:r>
          <w:rPr>
            <w:rStyle w:val="Hyperlink"/>
          </w:rPr>
          <w:t xml:space="preserve">Figure 3</w:t>
        </w:r>
      </w:hyperlink>
      <w:r>
        <w:t xml:space="preserve"> </w:t>
      </w:r>
      <w:r>
        <w:t xml:space="preserve">F) in plots with pika. These gains in foraging efficiency can be attributed to the decline in</w:t>
      </w:r>
      <w:r>
        <w:t xml:space="preserve"> </w:t>
      </w:r>
      <w:r>
        <w:rPr>
          <w:i/>
          <w:iCs/>
        </w:rPr>
        <w:t xml:space="preserve">S. chamaejasme</w:t>
      </w:r>
      <w:r>
        <w:t xml:space="preserve"> </w:t>
      </w:r>
      <w:r>
        <w:t xml:space="preserve">forbs (</w:t>
      </w:r>
      <w:hyperlink w:anchor="fig-yak-performance">
        <w:r>
          <w:rPr>
            <w:rStyle w:val="Hyperlink"/>
          </w:rPr>
          <w:t xml:space="preserve">Figure 3</w:t>
        </w:r>
      </w:hyperlink>
      <w:r>
        <w:t xml:space="preserve"> </w:t>
      </w:r>
      <w:r>
        <w:t xml:space="preserve">B), which improved access to palatable grasses and sedges. In this system, increased food availability (</w:t>
      </w:r>
      <w:hyperlink w:anchor="fig-yak-performance">
        <w:r>
          <w:rPr>
            <w:rStyle w:val="Hyperlink"/>
          </w:rPr>
          <w:t xml:space="preserve">Figure 3</w:t>
        </w:r>
      </w:hyperlink>
      <w:r>
        <w:t xml:space="preserve"> </w:t>
      </w:r>
      <w:r>
        <w:t xml:space="preserve">C,D) and enhanced foraging efficiency (</w:t>
      </w:r>
      <w:hyperlink w:anchor="fig-yak-performance">
        <w:r>
          <w:rPr>
            <w:rStyle w:val="Hyperlink"/>
          </w:rPr>
          <w:t xml:space="preserve">Figure 3</w:t>
        </w:r>
      </w:hyperlink>
      <w:r>
        <w:t xml:space="preserve">) likely work together to shape the facilitative effects of pika on yak performance (</w:t>
      </w:r>
      <w:hyperlink w:anchor="fig-yak-performance">
        <w:r>
          <w:rPr>
            <w:rStyle w:val="Hyperlink"/>
          </w:rPr>
          <w:t xml:space="preserve">Figure 3</w:t>
        </w:r>
      </w:hyperlink>
      <w:r>
        <w:t xml:space="preserve"> </w:t>
      </w:r>
      <w:r>
        <w:t xml:space="preserve">A).</w:t>
      </w:r>
    </w:p>
    <w:tbl>
      <w:tblPr>
        <w:tblStyle w:val="Table"/>
        <w:tblW w:type="pct" w:w="5000"/>
        <w:tblLayout w:type="fixed"/>
        <w:tblLook w:firstRow="0" w:lastRow="0" w:firstColumn="0" w:lastColumn="0" w:noHBand="0" w:noVBand="0" w:val="0000"/>
      </w:tblPr>
      <w:tblGrid>
        <w:gridCol w:w="7920"/>
      </w:tblGrid>
      <w:tr>
        <w:tc>
          <w:tcPr/>
          <w:bookmarkStart w:id="21" w:name="fig-diet-selection"/>
          <w:p>
            <w:pPr>
              <w:pStyle w:val="Compact"/>
              <w:jc w:val="center"/>
            </w:pPr>
            <w:bookmarkStart w:id="20" w:name="fig-diet-selection"/>
            <w:r>
              <w:drawing>
                <wp:inline>
                  <wp:extent cx="5334000" cy="4923692"/>
                  <wp:effectExtent b="0" l="0" r="0" t="0"/>
                  <wp:docPr descr="" title="" id="18" name="Picture"/>
                  <a:graphic>
                    <a:graphicData uri="http://schemas.openxmlformats.org/drawingml/2006/picture">
                      <pic:pic>
                        <pic:nvPicPr>
                          <pic:cNvPr descr="manuscript_figures_and_text_files/figure-docx/fig-diet-selection-1.png" id="19" name="Picture"/>
                          <pic:cNvPicPr>
                            <a:picLocks noChangeArrowheads="1" noChangeAspect="1"/>
                          </pic:cNvPicPr>
                        </pic:nvPicPr>
                        <pic:blipFill>
                          <a:blip r:embed="rId17"/>
                          <a:stretch>
                            <a:fillRect/>
                          </a:stretch>
                        </pic:blipFill>
                        <pic:spPr bwMode="auto">
                          <a:xfrm>
                            <a:off x="0" y="0"/>
                            <a:ext cx="5334000" cy="4923692"/>
                          </a:xfrm>
                          <a:prstGeom prst="rect">
                            <a:avLst/>
                          </a:prstGeom>
                          <a:noFill/>
                          <a:ln w="9525">
                            <a:noFill/>
                            <a:headEnd/>
                            <a:tailEnd/>
                          </a:ln>
                        </pic:spPr>
                      </pic:pic>
                    </a:graphicData>
                  </a:graphic>
                </wp:inline>
              </w:drawing>
            </w:r>
            <w:bookmarkEnd w:id="20"/>
          </w:p>
          <w:p>
            <w:pPr>
              <w:jc w:val="center"/>
            </w:pPr>
            <w:pPr>
              <w:jc w:val="left"/>
              <w:spacing w:before="200"/>
              <w:pStyle w:val="ImageCaption"/>
            </w:pPr>
            <w:r>
              <w:t xml:space="preserve">Figure 2: Diet selection of pikas and yaks and their potential interactions</w:t>
            </w:r>
            <w:r>
              <w:t xml:space="preserve"> </w:t>
            </w:r>
            <w:r>
              <w:t xml:space="preserve">mediated by poisonous plants based on field surveys in July 2021. (A) Feeding</w:t>
            </w:r>
            <w:r>
              <w:t xml:space="preserve"> </w:t>
            </w:r>
            <w:r>
              <w:t xml:space="preserve">and clipping frequencies of pikas (n = 10 plots), and (B) grazing frequencies of yaks on grasses,</w:t>
            </w:r>
            <w:r>
              <w:t xml:space="preserve"> </w:t>
            </w:r>
            <w:r>
              <w:t xml:space="preserve">sedges, forbs, and Stellera chamaejasme (n = 10 transects) across 10 2 × 2 m plots and 10 250 m</w:t>
            </w:r>
            <w:r>
              <w:t xml:space="preserve"> </w:t>
            </w:r>
            <w:r>
              <w:t xml:space="preserve">transects, respectively. (C) Relationship between active pika burrow density and S.</w:t>
            </w:r>
            <w:r>
              <w:t xml:space="preserve"> </w:t>
            </w:r>
            <w:r>
              <w:t xml:space="preserve">chamaejasme cover (n = 30 plots), and (D) between S. chamaejasme cover and an index of yak</w:t>
            </w:r>
            <w:r>
              <w:t xml:space="preserve"> </w:t>
            </w:r>
            <w:r>
              <w:t xml:space="preserve">grazing activity (dung density) in 30 10 × 10 m plots. (E) Photographs showing (left</w:t>
            </w:r>
            <w:r>
              <w:t xml:space="preserve"> </w:t>
            </w:r>
            <w:r>
              <w:t xml:space="preserve">to right) a pika at its burrow entrance, flowering S. chamaejasme, and a yak grazing</w:t>
            </w:r>
            <w:r>
              <w:t xml:space="preserve"> </w:t>
            </w:r>
            <w:r>
              <w:t xml:space="preserve">among S. chamaejasme plants. Different letters above bars indicate significant</w:t>
            </w:r>
            <w:r>
              <w:t xml:space="preserve"> </w:t>
            </w:r>
            <w:r>
              <w:t xml:space="preserve">differences at P &lt; 0.05. Credits: Xiaona Zheng (photographs).</w:t>
            </w:r>
          </w:p>
          <w:bookmarkEnd w:id="2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5" w:name="fig-yak-performance"/>
          <w:p>
            <w:pPr>
              <w:pStyle w:val="Compact"/>
              <w:jc w:val="center"/>
            </w:pPr>
            <w:r>
              <w:drawing>
                <wp:inline>
                  <wp:extent cx="5334000" cy="6400800"/>
                  <wp:effectExtent b="0" l="0" r="0" t="0"/>
                  <wp:docPr descr="" title="" id="23" name="Picture"/>
                  <a:graphic>
                    <a:graphicData uri="http://schemas.openxmlformats.org/drawingml/2006/picture">
                      <pic:pic>
                        <pic:nvPicPr>
                          <pic:cNvPr descr="manuscript_figures_and_text_files/figure-docx/unnamed-chunk-1-1.png" id="24" name="Picture"/>
                          <pic:cNvPicPr>
                            <a:picLocks noChangeArrowheads="1" noChangeAspect="1"/>
                          </pic:cNvPicPr>
                        </pic:nvPicPr>
                        <pic:blipFill>
                          <a:blip r:embed="rId22"/>
                          <a:stretch>
                            <a:fillRect/>
                          </a:stretch>
                        </pic:blipFill>
                        <pic:spPr bwMode="auto">
                          <a:xfrm>
                            <a:off x="0" y="0"/>
                            <a:ext cx="5334000" cy="6400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Combined effects of two-year (2022–2023) pika and Stellera</w:t>
            </w:r>
            <w:r>
              <w:t xml:space="preserve"> </w:t>
            </w:r>
            <w:r>
              <w:t xml:space="preserve">chamaejasme removal treatments on yak growth, forage quantity, and quality in</w:t>
            </w:r>
            <w:r>
              <w:t xml:space="preserve"> </w:t>
            </w:r>
            <w:r>
              <w:t xml:space="preserve">the field manipulative experiment. (A) Pika density (indicated by active burrow</w:t>
            </w:r>
            <w:r>
              <w:t xml:space="preserve"> </w:t>
            </w:r>
            <w:r>
              <w:t xml:space="preserve">density), (B) yak weight gain, (C) relationship between pika density and yak weight</w:t>
            </w:r>
            <w:r>
              <w:t xml:space="preserve"> </w:t>
            </w:r>
            <w:r>
              <w:t xml:space="preserve">gain, (D) S. chamaejasme cover, (E) grass cover, (F) sedge cover, (G) crude protein</w:t>
            </w:r>
            <w:r>
              <w:t xml:space="preserve"> </w:t>
            </w:r>
            <w:r>
              <w:t xml:space="preserve">(CP) content, and (H) acid detergent fibre (ADF) content. Average values from both years were used in</w:t>
            </w:r>
            <w:r>
              <w:t xml:space="preserve"> </w:t>
            </w:r>
            <w:r>
              <w:t xml:space="preserve">analyses, yielding one data point per 150 × 150 m plot (n = 16 plots: 4 plots per treatment combination). Significant interactions</w:t>
            </w:r>
            <w:r>
              <w:t xml:space="preserve"> </w:t>
            </w:r>
            <w:r>
              <w:t xml:space="preserve">between pikas and S. chamaejasme were evaluated using post hoc tests; means not</w:t>
            </w:r>
            <w:r>
              <w:t xml:space="preserve"> </w:t>
            </w:r>
            <w:r>
              <w:t xml:space="preserve">sharing letters differ significantly. For panels A and F, only main effects were</w:t>
            </w:r>
            <w:r>
              <w:t xml:space="preserve"> </w:t>
            </w:r>
            <w:r>
              <w:t xml:space="preserve">significant (Table S3). Error bars indicate +/- SE.</w:t>
            </w:r>
          </w:p>
          <w:bookmarkEnd w:id="2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0" w:name="fig-yak-foraging-efficiency"/>
          <w:p>
            <w:pPr>
              <w:pStyle w:val="Compact"/>
              <w:jc w:val="center"/>
            </w:pPr>
            <w:bookmarkStart w:id="29" w:name="fig-yak-foraging-efficiency"/>
            <w:r>
              <w:drawing>
                <wp:inline>
                  <wp:extent cx="5334000" cy="4267200"/>
                  <wp:effectExtent b="0" l="0" r="0" t="0"/>
                  <wp:docPr descr="" title="" id="27" name="Picture"/>
                  <a:graphic>
                    <a:graphicData uri="http://schemas.openxmlformats.org/drawingml/2006/picture">
                      <pic:pic>
                        <pic:nvPicPr>
                          <pic:cNvPr descr="manuscript_figures_and_text_files/figure-docx/fig-yak-foraging-efficiency-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bookmarkEnd w:id="29"/>
          </w:p>
          <w:p>
            <w:pPr>
              <w:jc w:val="center"/>
            </w:pPr>
            <w:pPr>
              <w:jc w:val="left"/>
              <w:spacing w:before="200"/>
              <w:pStyle w:val="ImageCaption"/>
            </w:pPr>
            <w:r>
              <w:t xml:space="preserve">Figure 4: Combined effects of two-year (2022–2023) pika and Stellera</w:t>
            </w:r>
            <w:r>
              <w:t xml:space="preserve"> </w:t>
            </w:r>
            <w:r>
              <w:t xml:space="preserve">chamaejasme removal treatments on yak foraging efficiency in the field</w:t>
            </w:r>
            <w:r>
              <w:t xml:space="preserve"> </w:t>
            </w:r>
            <w:r>
              <w:t xml:space="preserve">manipulative experiment. (A, B) Bite rates and (C, D) bites per step for sedges and</w:t>
            </w:r>
            <w:r>
              <w:t xml:space="preserve"> </w:t>
            </w:r>
            <w:r>
              <w:t xml:space="preserve">grasses, respectively. Mean values from both years were used for analysis (one data</w:t>
            </w:r>
            <w:r>
              <w:t xml:space="preserve"> </w:t>
            </w:r>
            <w:r>
              <w:t xml:space="preserve">point per 150 × 150 m plot; n = 16 plots: 4 plots per treatment combination). Significant interactions between pikas and S.</w:t>
            </w:r>
            <w:r>
              <w:t xml:space="preserve"> </w:t>
            </w:r>
            <w:r>
              <w:t xml:space="preserve">chamaejasme were evaluated using post hoc tests; means not sharing letters differ</w:t>
            </w:r>
            <w:r>
              <w:t xml:space="preserve"> </w:t>
            </w:r>
            <w:r>
              <w:t xml:space="preserve">significantly. Error bars indicate +/- SE.</w:t>
            </w:r>
          </w:p>
          <w:bookmarkEnd w:id="30"/>
        </w:tc>
      </w:tr>
    </w:tbl>
    <w:bookmarkEnd w:id="31"/>
    <w:bookmarkStart w:id="48" w:name="supplementary-figures-and-tables"/>
    <w:p>
      <w:pPr>
        <w:pStyle w:val="Heading1"/>
      </w:pPr>
      <w:r>
        <w:t xml:space="preserve">3. Supplementary Figures and Tables</w:t>
      </w:r>
    </w:p>
    <w:tbl>
      <w:tblPr>
        <w:tblStyle w:val="Table"/>
        <w:tblW w:type="pct" w:w="5000"/>
        <w:tblLayout w:type="fixed"/>
        <w:tblLook w:firstRow="0" w:lastRow="0" w:firstColumn="0" w:lastColumn="0" w:noHBand="0" w:noVBand="0" w:val="0000"/>
      </w:tblPr>
      <w:tblGrid>
        <w:gridCol w:w="7920"/>
      </w:tblGrid>
      <w:tr>
        <w:tc>
          <w:tcPr/>
          <w:bookmarkStart w:id="32" w:name="suppfig-ndf-plot"/>
          <w:p>
            <w:pPr>
              <w:pStyle w:val="Compact"/>
              <w:jc w:val="center"/>
            </w:pPr>
            <w:r>
              <w:t xml:space="preserve">Combined effects of two-year (2022–2023) pika and Stellera</w:t>
            </w:r>
            <w:r>
              <w:t xml:space="preserve"> </w:t>
            </w:r>
            <w:r>
              <w:t xml:space="preserve">chamaejasme removal on forb cover in the field manipulative experiment. The</w:t>
            </w:r>
            <w:r>
              <w:t xml:space="preserve"> </w:t>
            </w:r>
            <w:r>
              <w:t xml:space="preserve">average values of each variable in the two years were used for statistical analysis,</w:t>
            </w:r>
            <w:r>
              <w:t xml:space="preserve"> </w:t>
            </w:r>
            <w:r>
              <w:t xml:space="preserve">providing a single data point for each variable in each 150 × 150 m plot (n = 16 plots: 4 plots per treatment combination). Error bars</w:t>
            </w:r>
            <w:r>
              <w:t xml:space="preserve"> </w:t>
            </w:r>
            <w:r>
              <w:t xml:space="preserve">represent +/- SE.</w:t>
            </w:r>
          </w:p>
          <w:p>
            <w:pPr>
              <w:jc w:val="center"/>
            </w:pPr>
            <w:pPr>
              <w:jc w:val="left"/>
              <w:spacing w:before="200"/>
              <w:pStyle w:val="ImageCaption"/>
            </w:pPr>
            <w:r>
              <w:t xml:space="preserve">Supplementary Figure 1</w:t>
            </w:r>
          </w:p>
          <w:bookmarkEnd w:id="3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 w:name="suppfig-forb-bite-steps"/>
          <w:p>
            <w:pPr>
              <w:pStyle w:val="Compact"/>
              <w:jc w:val="center"/>
            </w:pPr>
            <w:r>
              <w:drawing>
                <wp:inline>
                  <wp:extent cx="4620126" cy="3696101"/>
                  <wp:effectExtent b="0" l="0" r="0" t="0"/>
                  <wp:docPr descr="" title="" id="34" name="Picture"/>
                  <a:graphic>
                    <a:graphicData uri="http://schemas.openxmlformats.org/drawingml/2006/picture">
                      <pic:pic>
                        <pic:nvPicPr>
                          <pic:cNvPr descr="manuscript_figures_and_text_files/figure-docx/unnamed-chunk-3-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Supplementary Figure 2: Combined effects of two-year (2022–2023) pika and Stellera</w:t>
            </w:r>
            <w:r>
              <w:t xml:space="preserve"> </w:t>
            </w:r>
            <w:r>
              <w:t xml:space="preserve">chamaejasme removal on foraging efficiency of yaks in the field manipulative experiment. (A) bite rates and (B) bites per step of yaks for forbs, respectively. The</w:t>
            </w:r>
            <w:r>
              <w:t xml:space="preserve"> </w:t>
            </w:r>
            <w:r>
              <w:t xml:space="preserve">average values of each variable in the two years were used for statistical analysis,</w:t>
            </w:r>
            <w:r>
              <w:t xml:space="preserve"> </w:t>
            </w:r>
            <w:r>
              <w:t xml:space="preserve">providing a single data point for each variable in each 150 × 150 m plot (n = 16 plots: 4 plots per treatment combination). Error bars</w:t>
            </w:r>
            <w:r>
              <w:t xml:space="preserve"> </w:t>
            </w:r>
            <w:r>
              <w:t xml:space="preserve">represent +/- SE.</w:t>
            </w:r>
          </w:p>
          <w:bookmarkEnd w:id="3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7" w:name="supptbl-pika-yak-feeding-model-summary"/>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effect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term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std.error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statistic</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Pika feeding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Grasses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Sedges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plot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Yak feeding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Grasses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Sedges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transect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bl>
          <w:p>
            <w:pPr>
              <w:jc w:val="center"/>
            </w:pPr>
            <w:pPr>
              <w:jc w:val="left"/>
              <w:spacing w:before="200"/>
              <w:pStyle w:val="ImageCaption"/>
            </w:pPr>
            <w:r>
              <w:t xml:space="preserve">Supplementary Table 1: Model summary for pika and yak feeding. Pika feeding model: beta distribution, n = 10 plots. Yak feeding model: beta distribution, n = 10 transects.</w:t>
            </w:r>
          </w:p>
          <w:bookmarkEnd w:id="3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 w:name="supptbl-pika-yak-feeding-model-contrast"/>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contrast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t.ratio</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Pika feeding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Forbs - Grasses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Forbs -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Forbs - Sedges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Grasses -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Grasses - Sedges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chamaejasme - Sedges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Yak feeding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Forbs - Grasses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Forbs - Sedges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Grasses - Sedges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bl>
          <w:p>
            <w:pPr>
              <w:jc w:val="center"/>
            </w:pPr>
            <w:pPr>
              <w:jc w:val="left"/>
              <w:spacing w:before="200"/>
              <w:pStyle w:val="ImageCaption"/>
            </w:pPr>
            <w:r>
              <w:t xml:space="preserve">Supplementary Table 2: Model contrasts for pika and yak feeding (pika: n = 10 plots; yak: n = 10 transects).</w:t>
            </w:r>
          </w:p>
          <w:bookmarkEnd w:id="3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 w:name="supptbl-pika-burrow-count"/>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effect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term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std.error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statistic</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pika_treatmentpika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posion_plant_treatmentS.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pika_treatmentpika:posion_plant_treatmentS.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bl>
          <w:p>
            <w:pPr>
              <w:jc w:val="center"/>
            </w:pPr>
            <w:pPr>
              <w:jc w:val="left"/>
              <w:spacing w:before="200"/>
              <w:pStyle w:val="ImageCaption"/>
            </w:pPr>
            <w:r>
              <w:t xml:space="preserve">Supplementary Table 3: Model summary for active burrow count between treatment levels. Estimates are from a generalized linear mixed model (Tweedie distribution) with block, year, and month as random effects (n = 16 plots, 2 years).</w:t>
            </w:r>
          </w:p>
          <w:bookmarkEnd w:id="3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 w:name="supptbl-pika-burrow-chamaejasme-gam"/>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term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std.error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statistic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p.value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edf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ref.df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s(active pika burrow density)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s(plot) [random effect]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29.00</w:t>
                  </w:r>
                </w:p>
              </w:tc>
            </w:tr>
          </w:tbl>
          <w:p>
            <w:pPr>
              <w:jc w:val="center"/>
            </w:pPr>
            <w:pPr>
              <w:jc w:val="left"/>
              <w:spacing w:before="200"/>
              <w:pStyle w:val="ImageCaption"/>
            </w:pPr>
            <w:r>
              <w:t xml:space="preserve">Supplementary Table 4: Model summary for S. chamaejasme cover regressed on active pika burrow density. Estimates are from a generalized additive mixed model (Gaussian family) with plot as a random effect (n = 30 plots).</w:t>
            </w:r>
          </w:p>
          <w:bookmarkEnd w:id="4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1" w:name="supptbl-dung-chamaejasme-lm"/>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term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std.error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statistic</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chamaejasme cover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bl>
          <w:p>
            <w:pPr>
              <w:jc w:val="center"/>
            </w:pPr>
            <w:pPr>
              <w:jc w:val="left"/>
              <w:spacing w:before="200"/>
              <w:pStyle w:val="ImageCaption"/>
            </w:pPr>
            <w:r>
              <w:t xml:space="preserve">Supplementary Table 5: Model summary for yak dung density regressed on S. chamaejasme cover. Estimates are from a linear regression model (n = 30 plots).</w:t>
            </w:r>
          </w:p>
          <w:bookmarkEnd w:id="4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supptbl-weight-gain-burrow-regression"/>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term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ref.df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statistic</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s(active_burrows)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s(block)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s(year)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r>
          </w:tbl>
          <w:p>
            <w:pPr>
              <w:jc w:val="center"/>
            </w:pPr>
            <w:pPr>
              <w:jc w:val="left"/>
              <w:spacing w:before="200"/>
              <w:pStyle w:val="ImageCaption"/>
            </w:pPr>
            <w:r>
              <w:t xml:space="preserve">Supplementary Table 6: Model summary for yak weight gain regressed on active burrow count in plots with both pika presence and S. chamaejasme presence. Estimates are from a generalized additive mixed model (Gaussian family) with block, year, and month as random effects (n = 24 observations from the pika + S. chamaejasme treatment).</w:t>
            </w:r>
          </w:p>
          <w:bookmarkEnd w:id="4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 w:name="supptbl-yak-performance-model-summary"/>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effect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term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std.error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statistic</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weight gain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grass cover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sedge cover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forb cover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S. chamaejasme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crude protein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acid detergent fibre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neutral detergent fiber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bl>
          <w:p>
            <w:pPr>
              <w:jc w:val="center"/>
            </w:pPr>
            <w:pPr>
              <w:jc w:val="left"/>
              <w:spacing w:before="200"/>
              <w:pStyle w:val="ImageCaption"/>
            </w:pPr>
            <w:r>
              <w:t xml:space="preserve">Supplementary Table 7: Model summary for weight gain, grass cover, S. chamaejasme cover, crude protein %, acid detergent fibre %. All models are generalized linear mixed models with block, year, and month as random effects (n = 16 plots, 2 years). Distributions: weight gain (Gaussian), cover variables (beta), forage quality variables (Gaussian).</w:t>
            </w:r>
          </w:p>
          <w:bookmarkEnd w:id="4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4" w:name="supptbl-yak-performance-model-contrast"/>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contrast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t.ratio</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weight gain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No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grass cover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No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S. chamaejasme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No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crude protein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No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acid detergent fibre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No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bl>
          <w:p>
            <w:pPr>
              <w:jc w:val="center"/>
            </w:pPr>
            <w:pPr>
              <w:jc w:val="left"/>
              <w:spacing w:before="200"/>
              <w:pStyle w:val="ImageCaption"/>
            </w:pPr>
            <w:r>
              <w:t xml:space="preserve">Supplementary Table 8: Model contrasts for weight gain, grass cover, S. chamaejasme cover, crude protein %, and acid detergent fibre % of total forage for yaks (n = 16 plots, 2 years).</w:t>
            </w:r>
          </w:p>
          <w:bookmarkEnd w:id="4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5" w:name="supptbl-yak-foraging-efficiency-summary"/>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effect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term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std.error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statistic</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sedge bites/h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grass bites/h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forb bites/h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sedges bite steps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grass bite steps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forb bite steps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fixed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random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bl>
          <w:p>
            <w:pPr>
              <w:jc w:val="center"/>
            </w:pPr>
            <w:pPr>
              <w:jc w:val="left"/>
              <w:spacing w:before="200"/>
              <w:pStyle w:val="ImageCaption"/>
            </w:pPr>
            <w:r>
              <w:t xml:space="preserve">Supplementary Table 9: Model summary for plant bites/h and the bites to step ratio for sedges, grasses, and forbs. All models are generalized linear mixed models (beta distribution for proportions, Gaussian for counts) with block, year, and month as random effects (n = 16 plots, 2 years).</w:t>
            </w:r>
          </w:p>
          <w:bookmarkEnd w:id="4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6" w:name="supptbl-yak-foraging-efficiency-contrast"/>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contrast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t.ratio</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sedge bites/h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No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grass bites/h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No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sedges bite steps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No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grass bite steps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No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no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pika No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pika S. chamaejasme / pika S. chamaejasme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Inf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bl>
          <w:p>
            <w:pPr>
              <w:jc w:val="center"/>
            </w:pPr>
            <w:pPr>
              <w:jc w:val="left"/>
              <w:spacing w:before="200"/>
              <w:pStyle w:val="ImageCaption"/>
            </w:pPr>
            <w:r>
              <w:t xml:space="preserve">Supplementary Table 10: Model contrasts for plant bites and the bites to step ratio for sedges, grasses, and forbs (n = 16 plots, 2 years).</w:t>
            </w:r>
          </w:p>
          <w:bookmarkEnd w:id="4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7" w:name="supptbl-model-overview"/>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Statistical Models Summary</w:t>
            </w:r>
          </w:p>
          <w:p>
            <w:pPr>
              <w:spacing w:before="0" w:after="60"/>
              <w:keepNext/>
              <w:jc w:val="start"/>
              <w:pStyle w:val="caption"/>
            </w:pPr>
            <w:r>
              <w:rPr>
                <w:rFonts w:ascii="Calibri" w:hAnsi="Calibri"/>
                <w:sz w:val="20"/>
                <w:color w:val="333333"/>
              </w:rPr>
              <w:t xml:space="default">Overview of all models used in the study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5F5F5F"/>
                    <w:bottom w:val="single" w:sz="16" w:space="0" w:color="5F5F5F"/>
                    <w:start w:val="single" w:space="0" w:color="D3D3D3"/>
                  </w:tcBorders>
                </w:tcPr>
                <w:p>
                  <w:pPr>
                    <w:spacing w:before="0" w:after="60"/>
                    <w:keepNext/>
                    <w:jc w:val="start"/>
                  </w:pPr>
                  <w:r>
                    <w:rPr>
                      <w:rFonts w:ascii="Calibri" w:hAnsi="Calibri"/>
                      <w:sz w:val="20"/>
                    </w:rPr>
                    <w:t xml:space="default">Response Variable</w:t>
                  </w:r>
                </w:p>
              </w:tc>
              <w:tc>
                <w:tcPr>
                  <w:tcBorders>
                    <w:top w:val="single" w:sz="16" w:space="0" w:color="5F5F5F"/>
                    <w:bottom w:val="single" w:sz="16" w:space="0" w:color="5F5F5F"/>
                  </w:tcBorders>
                </w:tcPr>
                <w:p>
                  <w:pPr>
                    <w:spacing w:before="0" w:after="60"/>
                    <w:keepNext/>
                    <w:jc w:val="start"/>
                  </w:pPr>
                  <w:r>
                    <w:rPr>
                      <w:rFonts w:ascii="Calibri" w:hAnsi="Calibri"/>
                      <w:sz w:val="20"/>
                    </w:rPr>
                    <w:t xml:space="default">Model Type</w:t>
                  </w:r>
                </w:p>
              </w:tc>
              <w:tc>
                <w:tcPr>
                  <w:tcBorders>
                    <w:top w:val="single" w:sz="16" w:space="0" w:color="5F5F5F"/>
                    <w:bottom w:val="single" w:sz="16" w:space="0" w:color="5F5F5F"/>
                  </w:tcBorders>
                </w:tcPr>
                <w:p>
                  <w:pPr>
                    <w:spacing w:before="0" w:after="60"/>
                    <w:keepNext/>
                    <w:jc w:val="center"/>
                  </w:pPr>
                  <w:r>
                    <w:rPr>
                      <w:rFonts w:ascii="Calibri" w:hAnsi="Calibri"/>
                      <w:sz w:val="20"/>
                    </w:rPr>
                    <w:t xml:space="default">Distribution/Family</w:t>
                  </w:r>
                </w:p>
              </w:tc>
              <w:tc>
                <w:tcPr>
                  <w:tcBorders>
                    <w:top w:val="single" w:sz="16" w:space="0" w:color="5F5F5F"/>
                    <w:bottom w:val="single" w:sz="16" w:space="0" w:color="5F5F5F"/>
                  </w:tcBorders>
                </w:tcPr>
                <w:p>
                  <w:pPr>
                    <w:spacing w:before="0" w:after="60"/>
                    <w:keepNext/>
                    <w:jc w:val="start"/>
                  </w:pPr>
                  <w:r>
                    <w:rPr>
                      <w:rFonts w:ascii="Calibri" w:hAnsi="Calibri"/>
                      <w:sz w:val="20"/>
                    </w:rPr>
                    <w:t xml:space="default">Interaction Terms</w:t>
                  </w:r>
                </w:p>
              </w:tc>
              <w:tc>
                <w:tcPr>
                  <w:tcBorders>
                    <w:top w:val="single" w:sz="16" w:space="0" w:color="5F5F5F"/>
                    <w:bottom w:val="single" w:sz="16" w:space="0" w:color="5F5F5F"/>
                  </w:tcBorders>
                </w:tcPr>
                <w:p>
                  <w:pPr>
                    <w:spacing w:before="0" w:after="60"/>
                    <w:keepNext/>
                    <w:jc w:val="start"/>
                  </w:pPr>
                  <w:r>
                    <w:rPr>
                      <w:rFonts w:ascii="Calibri" w:hAnsi="Calibri"/>
                      <w:sz w:val="20"/>
                    </w:rPr>
                    <w:t xml:space="default">Random Effects</w:t>
                  </w:r>
                </w:p>
              </w:tc>
              <w:tc>
                <w:tcPr>
                  <w:tcBorders>
                    <w:top w:val="single" w:sz="16" w:space="0" w:color="5F5F5F"/>
                    <w:bottom w:val="single" w:sz="16" w:space="0" w:color="5F5F5F"/>
                    <w:end w:val="single" w:space="0" w:color="D3D3D3"/>
                  </w:tcBorders>
                </w:tcPr>
                <w:p>
                  <w:pPr>
                    <w:spacing w:before="0" w:after="60"/>
                    <w:keepNext/>
                    <w:jc w:val="center"/>
                  </w:pPr>
                  <w:r>
                    <w:rPr>
                      <w:rFonts w:ascii="Calibri" w:hAnsi="Calibri"/>
                      <w:sz w:val="20"/>
                    </w:rPr>
                    <w:t xml:space="default">Sample Size</w:t>
                  </w:r>
                </w:p>
              </w:tc>
            </w:tr>
            <w:tr>
              <w:trPr>
                <w:cantSplit/>
              </w:trPr>
              <w:tc>
                <w:tcPr>
                  <w:tcBorders>
                    <w:top w:val="single" w:sz="16" w:space="0" w:color="5F5F5F"/>
                    <w:bottom w:val="single" w:sz="16" w:space="0" w:color="5F5F5F"/>
                    <w:start w:val="single" w:space="0" w:color="D3D3D3"/>
                    <w:end w:val="single" w:space="0" w:color="D3D3D3"/>
                  </w:tcBorders>
                  <w:tcMar>
                    <w:top w:w="25" w:type="dxa"/>
                  </w:tcMar>
                  <w:gridSpan w:val="6"/>
                </w:tcPr>
                <w:p>
                  <w:pPr>
                    <w:spacing w:before="0" w:after="60"/>
                    <w:keepNext/>
                  </w:pPr>
                  <w:r>
                    <w:rPr>
                      <w:rFonts w:ascii="Calibri" w:hAnsi="Calibri"/>
                      <w:sz w:val="20"/>
                    </w:rPr>
                    <w:t xml:space="default">Diet selection</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Pika feeding frequency</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GLMM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Gaussian</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plot,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10 plots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Yak grazing frequency</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GLMM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Gaussian</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transect,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10 transects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S. chamaejasme cover</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GAM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Gaussian</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plot</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30 plots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Yak dung density</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LM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Gaussian</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30 plots</w:t>
                  </w:r>
                </w:p>
              </w:tc>
            </w:tr>
            <w:tr>
              <w:trPr>
                <w:cantSplit/>
              </w:trPr>
              <w:tc>
                <w:tcPr>
                  <w:tcBorders>
                    <w:top w:val="single" w:sz="16" w:space="0" w:color="5F5F5F"/>
                    <w:bottom w:val="single" w:sz="16" w:space="0" w:color="5F5F5F"/>
                    <w:start w:val="single" w:space="0" w:color="D3D3D3"/>
                    <w:end w:val="single" w:space="0" w:color="D3D3D3"/>
                  </w:tcBorders>
                  <w:tcMar>
                    <w:top w:w="25" w:type="dxa"/>
                  </w:tcMar>
                  <w:gridSpan w:val="6"/>
                </w:tcPr>
                <w:p>
                  <w:pPr>
                    <w:spacing w:before="0" w:after="60"/>
                    <w:keepNext/>
                  </w:pPr>
                  <w:r>
                    <w:rPr>
                      <w:rFonts w:ascii="Calibri" w:hAnsi="Calibri"/>
                      <w:sz w:val="20"/>
                    </w:rPr>
                    <w:t xml:space="default">Yak performance</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Yak weight gain</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GLMM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Gaussian</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pika × S. chamaejasme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block, year,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16 plots, 2 years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Yak weight gain (vs burrow density)</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GAM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Gaussian</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block, year,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16 plots</w:t>
                  </w:r>
                </w:p>
              </w:tc>
            </w:tr>
            <w:tr>
              <w:trPr>
                <w:cantSplit/>
              </w:trPr>
              <w:tc>
                <w:tcPr>
                  <w:tcBorders>
                    <w:top w:val="single" w:sz="16" w:space="0" w:color="5F5F5F"/>
                    <w:bottom w:val="single" w:sz="16" w:space="0" w:color="5F5F5F"/>
                    <w:start w:val="single" w:space="0" w:color="D3D3D3"/>
                    <w:end w:val="single" w:space="0" w:color="D3D3D3"/>
                  </w:tcBorders>
                  <w:tcMar>
                    <w:top w:w="25" w:type="dxa"/>
                  </w:tcMar>
                  <w:gridSpan w:val="6"/>
                </w:tcPr>
                <w:p>
                  <w:pPr>
                    <w:spacing w:before="0" w:after="60"/>
                    <w:keepNext/>
                  </w:pPr>
                  <w:r>
                    <w:rPr>
                      <w:rFonts w:ascii="Calibri" w:hAnsi="Calibri"/>
                      <w:sz w:val="20"/>
                    </w:rPr>
                    <w:t xml:space="default">Plant cover</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Grasses</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GLMM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Beta</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pika × S. chamaejasme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block, year,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16 plots, 2 years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Sedges</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GLMM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Beta</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pika × S. chamaejasme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block, year,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16 plots, 2 years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Forbs</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GLMM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Beta</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pika × S. chamaejasme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block, year,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16 plots, 2 years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S_chamaejasme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GLMM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Beta</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pika × S. chamaejasme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block, year,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16 plots, 2 years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Active burrow density</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GLMM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Gaussian</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pika × S. chamaejasme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block,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16 plots, 2 years</w:t>
                  </w:r>
                </w:p>
              </w:tc>
            </w:tr>
            <w:tr>
              <w:trPr>
                <w:cantSplit/>
              </w:trPr>
              <w:tc>
                <w:tcPr>
                  <w:tcBorders>
                    <w:top w:val="single" w:sz="16" w:space="0" w:color="5F5F5F"/>
                    <w:bottom w:val="single" w:sz="16" w:space="0" w:color="5F5F5F"/>
                    <w:start w:val="single" w:space="0" w:color="D3D3D3"/>
                    <w:end w:val="single" w:space="0" w:color="D3D3D3"/>
                  </w:tcBorders>
                  <w:tcMar>
                    <w:top w:w="25" w:type="dxa"/>
                  </w:tcMar>
                  <w:gridSpan w:val="6"/>
                </w:tcPr>
                <w:p>
                  <w:pPr>
                    <w:spacing w:before="0" w:after="60"/>
                    <w:keepNext/>
                  </w:pPr>
                  <w:r>
                    <w:rPr>
                      <w:rFonts w:ascii="Calibri" w:hAnsi="Calibri"/>
                      <w:sz w:val="20"/>
                    </w:rPr>
                    <w:t xml:space="default">Forage quality</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Crude protein (%)</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GLMM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Beta</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pika × S. chamaejasme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block, year,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16 plots, 2 years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Acid detergent fiber (%)</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GLMM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Beta</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pika × S. chamaejasme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block, year,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16 plots, 2 years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Neutral detergent fiber (%)</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GLMM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Beta</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pika × S. chamaejasme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block, year,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16 plots, 2 years</w:t>
                  </w:r>
                </w:p>
              </w:tc>
            </w:tr>
            <w:tr>
              <w:trPr>
                <w:cantSplit/>
              </w:trPr>
              <w:tc>
                <w:tcPr>
                  <w:tcBorders>
                    <w:top w:val="single" w:sz="16" w:space="0" w:color="5F5F5F"/>
                    <w:bottom w:val="single" w:sz="16" w:space="0" w:color="5F5F5F"/>
                    <w:start w:val="single" w:space="0" w:color="D3D3D3"/>
                    <w:end w:val="single" w:space="0" w:color="D3D3D3"/>
                  </w:tcBorders>
                  <w:tcMar>
                    <w:top w:w="25" w:type="dxa"/>
                  </w:tcMar>
                  <w:gridSpan w:val="6"/>
                </w:tcPr>
                <w:p>
                  <w:pPr>
                    <w:spacing w:before="0" w:after="60"/>
                    <w:keepNext/>
                  </w:pPr>
                  <w:r>
                    <w:rPr>
                      <w:rFonts w:ascii="Calibri" w:hAnsi="Calibri"/>
                      <w:sz w:val="20"/>
                    </w:rPr>
                    <w:t xml:space="default">Foraging efficiency</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Sedge bite rate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GLMM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Gaussian</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pika × S. chamaejasme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block,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16 plots, 2 years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Grass bite rate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GLMM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Tweedie (p = -0.01)</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pika × S. chamaejasme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block,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16 plots, 2 years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Forb bite rate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GLMM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Gaussian</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pika × S. chamaejasme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block,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16 plots, 2 years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Sedge bites/step</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GLMM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Beta</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pika × S. chamaejasme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block,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16 plots, 2 years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Grass bites/step</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GLMM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Beta</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pika × S. chamaejasme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block,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16 plots, 2 years</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Forb bites/step</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GLMM</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Beta</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pika × S. chamaejasme</w:t>
                  </w:r>
                </w:p>
              </w:tc>
              <w:tc>
                <w:tcPr>
                  <w:tcBorders>
                    <w:top w:val="single" w:space="0" w:color="D5D5D5"/>
                    <w:bottom w:val="single" w:space="0" w:color="D5D5D5"/>
                    <w:start w:val="single" w:space="0" w:color="D5D5D5"/>
                    <w:end w:val="single" w:space="0" w:color="D5D5D5"/>
                  </w:tcBorders>
                </w:tcPr>
                <w:p>
                  <w:pPr>
                    <w:spacing w:before="0" w:after="60"/>
                    <w:keepNext/>
                    <w:jc w:val="start"/>
                  </w:pPr>
                  <w:r>
                    <w:rPr>
                      <w:rFonts w:ascii="Calibri" w:hAnsi="Calibri"/>
                      <w:sz w:val="20"/>
                    </w:rPr>
                    <w:t xml:space="default">block, month</w:t>
                  </w:r>
                </w:p>
              </w:tc>
              <w:tc>
                <w:tcPr>
                  <w:tcBorders>
                    <w:top w:val="single" w:space="0" w:color="D5D5D5"/>
                    <w:bottom w:val="single" w:space="0" w:color="D5D5D5"/>
                    <w:start w:val="single" w:space="0" w:color="D5D5D5"/>
                    <w:end w:val="single" w:space="0" w:color="D5D5D5"/>
                  </w:tcBorders>
                </w:tcPr>
                <w:p>
                  <w:pPr>
                    <w:spacing w:before="0" w:after="60"/>
                    <w:keepNext/>
                    <w:jc w:val="center"/>
                  </w:pPr>
                  <w:r>
                    <w:rPr>
                      <w:rFonts w:ascii="Calibri" w:hAnsi="Calibri"/>
                      <w:sz w:val="20"/>
                    </w:rPr>
                    <w:t xml:space="default">n = 16 plots, 2 years</w:t>
                  </w:r>
                </w:p>
              </w:tc>
            </w:tr>
            <w:tr>
              <w:trPr>
                <w:cantSplit/>
              </w:trPr>
              <w:tc>
                <w:tcPr>
                  <w:gridSpan w:val="6"/>
                </w:tcPr>
                <w:p>
                  <w:pPr>
                    <w:spacing w:before="0" w:after="60"/>
                    <w:keepNext/>
                  </w:pPr>
                  <w:r>
                    <w:rPr>
                      <w:rFonts w:ascii="Calibri" w:hAnsi="Calibri"/>
                      <w:sz w:val="20"/>
                    </w:rPr>
                    <w:t xml:space="default">GLMM = Generalized Linear Mixed Model; GAM = Generalized Additive Mixed Model; LM = Linear Model. For Tweedie distributions, p indicates the power parameter.</w:t>
                  </w:r>
                </w:p>
              </w:tc>
            </w:tr>
          </w:tbl>
          <w:p>
            <w:pPr>
              <w:jc w:val="center"/>
            </w:pPr>
            <w:pPr>
              <w:jc w:val="left"/>
              <w:spacing w:before="200"/>
              <w:pStyle w:val="ImageCaption"/>
            </w:pPr>
            <w:r>
              <w:t xml:space="preserve">Supplementary Table 11: Summary of all statistical models used in the study, including response variables, model type, distribution family (with Tweedie power parameter where applicable), interaction terms, random effects structure, and sample sizes. All field experiments (2022-2023) used a 2×2 factorial design with pika presence/absence and S. chamaejasme presence/absence treatments.</w:t>
            </w:r>
          </w:p>
          <w:bookmarkEnd w:id="47"/>
        </w:tc>
      </w:tr>
    </w:tbl>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9" Target="media/rId9.png"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image" Id="rId33" Target="media/rId33.png" /><Relationship Type="http://schemas.openxmlformats.org/officeDocument/2006/relationships/hyperlink" Id="rId14" Target="https://github.com/ddlawton/pika_yak_interactions" TargetMode="External" /></Relationships>
</file>

<file path=word/_rels/footnotes.xml.rels><?xml version="1.0" encoding="UTF-8"?><Relationships xmlns="http://schemas.openxmlformats.org/package/2006/relationships"><Relationship Type="http://schemas.openxmlformats.org/officeDocument/2006/relationships/hyperlink" Id="rId14" Target="https://github.com/ddlawton/pika_yak_interac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and Results</dc:title>
  <dc:creator>Douglas Lawton</dc:creator>
  <cp:keywords/>
  <dcterms:created xsi:type="dcterms:W3CDTF">2026-05-25T22:38:54Z</dcterms:created>
  <dcterms:modified xsi:type="dcterms:W3CDTF">2026-05-25T22:38:54Z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2026-05-25</vt:lpwstr>
  </property>
  <property fmtid="{D5CDD505-2E9C-101B-9397-08002B2CF9AE}" pid="7" name="editor">
    <vt:lpwstr>source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