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Override PartName="/word/media/rId26.png" ContentType="image/png"/>
  <Override PartName="/word/media/rId22.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and Results</w:t>
      </w:r>
    </w:p>
    <w:p>
      <w:pPr>
        <w:pStyle w:val="Author"/>
      </w:pPr>
      <w:r>
        <w:t xml:space="preserve">Douglas Lawton</w:t>
      </w:r>
    </w:p>
    <w:p>
      <w:pPr>
        <w:pStyle w:val="Date"/>
      </w:pPr>
      <w:r>
        <w:t xml:space="preserve">2026-05-24</w:t>
      </w:r>
    </w:p>
    <w:tbl>
      <w:tblPr>
        <w:tblStyle w:val="Table"/>
        <w:tblW w:type="pct" w:w="5000"/>
        <w:tblLayout w:type="fixed"/>
        <w:tblLook w:firstRow="0" w:lastRow="0" w:firstColumn="0" w:lastColumn="0" w:noHBand="0" w:noVBand="0" w:val="0000"/>
      </w:tblPr>
      <w:tblGrid>
        <w:gridCol w:w="7920"/>
      </w:tblGrid>
      <w:tr>
        <w:tc>
          <w:tcPr/>
          <w:bookmarkStart w:id="13" w:name="fig-hypothesis"/>
          <w:p>
            <w:pPr>
              <w:pStyle w:val="Compact"/>
              <w:jc w:val="center"/>
            </w:pPr>
            <w:bookmarkStart w:id="12" w:name="fig-hypothesis"/>
            <w:r>
              <w:drawing>
                <wp:inline>
                  <wp:extent cx="5334000" cy="3879272"/>
                  <wp:effectExtent b="0" l="0" r="0" t="0"/>
                  <wp:docPr descr="" title="" id="10" name="Picture"/>
                  <a:graphic>
                    <a:graphicData uri="http://schemas.openxmlformats.org/drawingml/2006/picture">
                      <pic:pic>
                        <pic:nvPicPr>
                          <pic:cNvPr descr="manuscript_figures_and_text_files/figure-docx/fig-hypothesis-1.pn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bookmarkEnd w:id="12"/>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13"/>
        </w:tc>
      </w:tr>
    </w:tbl>
    <w:bookmarkStart w:id="16" w:name="methods"/>
    <w:p>
      <w:pPr>
        <w:pStyle w:val="Heading1"/>
      </w:pPr>
      <w:r>
        <w:t xml:space="preserve">1. Methods</w:t>
      </w:r>
    </w:p>
    <w:bookmarkStart w:id="15"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14">
        <w:r>
          <w:rPr>
            <w:rStyle w:val="Hyperlink"/>
          </w:rPr>
          <w:t xml:space="preserve">https://github.com/ddlawton/pika_yak_interactions</w:t>
        </w:r>
      </w:hyperlink>
      <w:r>
        <w:t xml:space="preserve">.</w:t>
      </w:r>
    </w:p>
    <w:bookmarkEnd w:id="15"/>
    <w:bookmarkEnd w:id="16"/>
    <w:bookmarkStart w:id="31"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6</w:t>
        </w:r>
      </w:hyperlink>
      <w:r>
        <w:t xml:space="preserve">). When pika were present, yaks showed higher weight gain (</w:t>
      </w:r>
      <w:hyperlink w:anchor="supptbl-yak-performance-model-contrast">
        <w:r>
          <w:rPr>
            <w:rStyle w:val="Hyperlink"/>
          </w:rPr>
          <w:t xml:space="preserve">Supplementary Table 7</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6</w:t>
        </w:r>
      </w:hyperlink>
      <w:r>
        <w:t xml:space="preserve">,</w:t>
      </w:r>
      <w:r>
        <w:t xml:space="preserve"> </w:t>
      </w:r>
      <w:hyperlink w:anchor="supptbl-yak-performance-model-contrast">
        <w:r>
          <w:rPr>
            <w:rStyle w:val="Hyperlink"/>
          </w:rPr>
          <w:t xml:space="preserve">Supplementary Table 7</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6</w:t>
        </w:r>
      </w:hyperlink>
      <w:r>
        <w:t xml:space="preserve">,</w:t>
      </w:r>
      <w:r>
        <w:t xml:space="preserve"> </w:t>
      </w:r>
      <w:hyperlink w:anchor="supptbl-yak-performance-model-contrast">
        <w:r>
          <w:rPr>
            <w:rStyle w:val="Hyperlink"/>
          </w:rPr>
          <w:t xml:space="preserve">Supplementary Table 7</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6</w:t>
        </w:r>
      </w:hyperlink>
      <w:r>
        <w:t xml:space="preserve">,</w:t>
      </w:r>
      <w:r>
        <w:t xml:space="preserve"> </w:t>
      </w:r>
      <w:hyperlink w:anchor="supptbl-yak-performance-model-contrast">
        <w:r>
          <w:rPr>
            <w:rStyle w:val="Hyperlink"/>
          </w:rPr>
          <w:t xml:space="preserve">Supplementary Table 7</w:t>
        </w:r>
      </w:hyperlink>
      <w:r>
        <w:t xml:space="preserve">) and increased the crude protein content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6</w:t>
        </w:r>
      </w:hyperlink>
      <w:r>
        <w:t xml:space="preserve">,</w:t>
      </w:r>
      <w:r>
        <w:t xml:space="preserve"> </w:t>
      </w:r>
      <w:hyperlink w:anchor="supptbl-yak-performance-model-contrast">
        <w:r>
          <w:rPr>
            <w:rStyle w:val="Hyperlink"/>
          </w:rPr>
          <w:t xml:space="preserve">Supplementary Table 7</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5</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8</w:t>
        </w:r>
      </w:hyperlink>
      <w:r>
        <w:t xml:space="preserve">,</w:t>
      </w:r>
      <w:r>
        <w:t xml:space="preserve"> </w:t>
      </w:r>
      <w:hyperlink w:anchor="supptbl-yak-foraging-efficiency-contrast">
        <w:r>
          <w:rPr>
            <w:rStyle w:val="Hyperlink"/>
          </w:rPr>
          <w:t xml:space="preserve">Supplementary Table 9</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21" w:name="fig-diet-selection"/>
          <w:p>
            <w:pPr>
              <w:pStyle w:val="Compact"/>
              <w:jc w:val="center"/>
            </w:pPr>
            <w:bookmarkStart w:id="20" w:name="fig-diet-selection"/>
            <w:r>
              <w:drawing>
                <wp:inline>
                  <wp:extent cx="5334000" cy="4923692"/>
                  <wp:effectExtent b="0" l="0" r="0" t="0"/>
                  <wp:docPr descr="" title="" id="18" name="Picture"/>
                  <a:graphic>
                    <a:graphicData uri="http://schemas.openxmlformats.org/drawingml/2006/picture">
                      <pic:pic>
                        <pic:nvPicPr>
                          <pic:cNvPr descr="manuscript_figures_and_text_files/figure-docx/fig-diet-selection-1.png" id="19" name="Picture"/>
                          <pic:cNvPicPr>
                            <a:picLocks noChangeArrowheads="1" noChangeAspect="1"/>
                          </pic:cNvPicPr>
                        </pic:nvPicPr>
                        <pic:blipFill>
                          <a:blip r:embed="rId17"/>
                          <a:stretch>
                            <a:fillRect/>
                          </a:stretch>
                        </pic:blipFill>
                        <pic:spPr bwMode="auto">
                          <a:xfrm>
                            <a:off x="0" y="0"/>
                            <a:ext cx="5334000" cy="4923692"/>
                          </a:xfrm>
                          <a:prstGeom prst="rect">
                            <a:avLst/>
                          </a:prstGeom>
                          <a:noFill/>
                          <a:ln w="9525">
                            <a:noFill/>
                            <a:headEnd/>
                            <a:tailEnd/>
                          </a:ln>
                        </pic:spPr>
                      </pic:pic>
                    </a:graphicData>
                  </a:graphic>
                </wp:inline>
              </w:drawing>
            </w:r>
            <w:bookmarkEnd w:id="20"/>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(n = 10 plots), and (B) grazing frequencies of yaks on grasses,</w:t>
            </w:r>
            <w:r>
              <w:t xml:space="preserve"> </w:t>
            </w:r>
            <w:r>
              <w:t xml:space="preserve">sedges, forbs, and Stellera chamaejasme (n = 10 transects) across 10 2 × 2 m plots and 10 250 m</w:t>
            </w:r>
            <w:r>
              <w:t xml:space="preserve"> </w:t>
            </w:r>
            <w:r>
              <w:t xml:space="preserve">transects, respectively. (C) Relationship between active pika burrow density and S.</w:t>
            </w:r>
            <w:r>
              <w:t xml:space="preserve"> </w:t>
            </w:r>
            <w:r>
              <w:t xml:space="preserve">chamaejasme cover (n = 31 plots), and (D) between S. chamaejasme cover and an index of yak</w:t>
            </w:r>
            <w:r>
              <w:t xml:space="preserve"> </w:t>
            </w:r>
            <w:r>
              <w:t xml:space="preserve">grazing activity (dung density) in 31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yak-performance"/>
          <w:p>
            <w:pPr>
              <w:pStyle w:val="Compact"/>
              <w:jc w:val="center"/>
            </w:pPr>
            <w:r>
              <w:drawing>
                <wp:inline>
                  <wp:extent cx="5334000" cy="6400800"/>
                  <wp:effectExtent b="0" l="0" r="0" t="0"/>
                  <wp:docPr descr="" title="" id="23" name="Picture"/>
                  <a:graphic>
                    <a:graphicData uri="http://schemas.openxmlformats.org/drawingml/2006/picture">
                      <pic:pic>
                        <pic:nvPicPr>
                          <pic:cNvPr descr="manuscript_figures_and_text_files/figure-docx/unnamed-chunk-1-1.png" id="24" name="Picture"/>
                          <pic:cNvPicPr>
                            <a:picLocks noChangeArrowheads="1" noChangeAspect="1"/>
                          </pic:cNvPicPr>
                        </pic:nvPicPr>
                        <pic:blipFill>
                          <a:blip r:embed="rId22"/>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(n = 16 plots: 4 plots per treatment combination).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yak-foraging-efficiency"/>
          <w:p>
            <w:pPr>
              <w:pStyle w:val="Compact"/>
              <w:jc w:val="center"/>
            </w:pPr>
            <w:bookmarkStart w:id="29" w:name="fig-yak-foraging-efficiency"/>
            <w:r>
              <w:drawing>
                <wp:inline>
                  <wp:extent cx="5334000" cy="4267200"/>
                  <wp:effectExtent b="0" l="0" r="0" t="0"/>
                  <wp:docPr descr="" title="" id="27" name="Picture"/>
                  <a:graphic>
                    <a:graphicData uri="http://schemas.openxmlformats.org/drawingml/2006/picture">
                      <pic:pic>
                        <pic:nvPicPr>
                          <pic:cNvPr descr="manuscript_figures_and_text_files/figure-docx/fig-yak-foraging-efficiency-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bookmarkEnd w:id="29"/>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n = 16 plots: 4 plots per treatment combination).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30"/>
        </w:tc>
      </w:tr>
    </w:tbl>
    <w:bookmarkEnd w:id="31"/>
    <w:bookmarkStart w:id="47"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32"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p>
            <w:pPr>
              <w:jc w:val="center"/>
            </w:pPr>
            <w:pPr>
              <w:jc w:val="left"/>
              <w:spacing w:before="200"/>
              <w:pStyle w:val="ImageCaption"/>
            </w:pPr>
            <w:r>
              <w:t xml:space="preserve">Supplementary Figure 1</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suppfig-forb-bite-steps"/>
          <w:p>
            <w:pPr>
              <w:pStyle w:val="Compact"/>
              <w:jc w:val="center"/>
            </w:pPr>
            <w:r>
              <w:drawing>
                <wp:inline>
                  <wp:extent cx="4620126" cy="3696101"/>
                  <wp:effectExtent b="0" l="0" r="0" t="0"/>
                  <wp:docPr descr="" title="" id="34" name="Picture"/>
                  <a:graphic>
                    <a:graphicData uri="http://schemas.openxmlformats.org/drawingml/2006/picture">
                      <pic:pic>
                        <pic:nvPicPr>
                          <pic:cNvPr descr="manuscript_figures_and_text_files/figure-docx/unnamed-chunk-3-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 Pika feeding model: beta distribution, n = 10 plots. Yak feeding model: beta distribution, n = 10 transects.</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 (pika: n = 10 plots; yak: n = 10 transects).</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(Tweedie distribution) with block, year, and month as random effects (n = 16 plots, 2 years).</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supptbl-pika-burrow-chamaejasme-gam"/>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 pika burrow density)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s(plot)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r>
          </w:tbl>
          <w:p>
            <w:pPr>
              <w:jc w:val="center"/>
            </w:pPr>
            <w:pPr>
              <w:jc w:val="left"/>
              <w:spacing w:before="200"/>
              <w:pStyle w:val="ImageCaption"/>
            </w:pPr>
            <w:r>
              <w:t xml:space="preserve">Supplementary Table 4: Model summary for S. chamaejasme cover regressed on active pika burrow density. Estimates are from a generalized additive mixed model (Gaussian family) with plot as a random effect (n = 31 plots).</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5: Model summary for yak weight gain regressed on active burrow count. Estimates are from a generalized additive mixed model (Gaussian family) with block, year, and month as random effects (n = 16 plots).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6: Model summary for weight gain, grass cover, S. chamaejasme cover, crude protein %, acid detergent fibre %. All models are generalized linear mixed models with block, year, and month as random effects (n = 16 plots, 2 years). Distributions: weight gain (Gaussian), cover variables (beta), forage quality variables (Gaussian).</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7: Model contrasts for weight gain, grass cover, S. chamaejasme cover, crude protein %, and acid detergent fibre % of total forage for yaks (n = 16 plots, 2 years).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8: Model summary for plant bites/h and the bites to step ratio for sedges, grasses, and forbs. All models are generalized linear mixed models (beta distribution for proportions, Gaussian for counts) with block, year, and month as random effects (n = 16 plots, 2 years).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9: Model contrasts for plant bites and the bites to step ratio for sedges, grasses, and forbs (n = 16 plots, 2 years).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supptbl-model-overview"/>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Statistical Models Summary</w:t>
            </w:r>
          </w:p>
          <w:p>
            <w:pPr>
              <w:spacing w:before="0" w:after="60"/>
              <w:keepNext/>
              <w:jc w:val="start"/>
              <w:pStyle w:val="caption"/>
            </w:pPr>
            <w:r>
              <w:rPr>
                <w:rFonts w:ascii="Calibri" w:hAnsi="Calibri"/>
                <w:sz w:val="20"/>
                <w:color w:val="333333"/>
              </w:rPr>
              <w:t xml:space="default">Overview of all models used in the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5F5F5F"/>
                    <w:bottom w:val="single" w:sz="16" w:space="0" w:color="5F5F5F"/>
                    <w:start w:val="single" w:space="0" w:color="D3D3D3"/>
                  </w:tcBorders>
                </w:tcPr>
                <w:p>
                  <w:pPr>
                    <w:spacing w:before="0" w:after="60"/>
                    <w:keepNext/>
                    <w:jc w:val="start"/>
                  </w:pPr>
                  <w:r>
                    <w:rPr>
                      <w:rFonts w:ascii="Calibri" w:hAnsi="Calibri"/>
                      <w:sz w:val="20"/>
                    </w:rPr>
                    <w:t xml:space="default">Response Variable</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Model Type</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Distribution/Family</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Random Effects</w:t>
                  </w:r>
                </w:p>
              </w:tc>
              <w:tc>
                <w:tcPr>
                  <w:tcBorders>
                    <w:top w:val="single" w:sz="16" w:space="0" w:color="5F5F5F"/>
                    <w:bottom w:val="single" w:sz="16" w:space="0" w:color="5F5F5F"/>
                    <w:end w:val="single" w:space="0" w:color="D3D3D3"/>
                  </w:tcBorders>
                </w:tcPr>
                <w:p>
                  <w:pPr>
                    <w:spacing w:before="0" w:after="60"/>
                    <w:keepNext/>
                    <w:jc w:val="center"/>
                  </w:pPr>
                  <w:r>
                    <w:rPr>
                      <w:rFonts w:ascii="Calibri" w:hAnsi="Calibri"/>
                      <w:sz w:val="20"/>
                    </w:rPr>
                    <w:t xml:space="default">Sample Size</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5"/>
                </w:tcPr>
                <w:p>
                  <w:pPr>
                    <w:spacing w:before="0" w:after="60"/>
                    <w:keepNext/>
                  </w:pPr>
                  <w:r>
                    <w:rPr>
                      <w:rFonts w:ascii="Calibri" w:hAnsi="Calibri"/>
                      <w:sz w:val="20"/>
                    </w:rPr>
                    <w:t xml:space="default">Diet selection</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feeding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grazing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transect,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transects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 chamaejasme cover vs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31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Dung density vs S. chamaejasme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LM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none</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31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5"/>
                </w:tcPr>
                <w:p>
                  <w:pPr>
                    <w:spacing w:before="0" w:after="60"/>
                    <w:keepNext/>
                  </w:pPr>
                  <w:r>
                    <w:rPr>
                      <w:rFonts w:ascii="Calibri" w:hAnsi="Calibri"/>
                      <w:sz w:val="20"/>
                    </w:rPr>
                    <w:t xml:space="default">Yak performance</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Weight gain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Weight gain vs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5"/>
                </w:tcPr>
                <w:p>
                  <w:pPr>
                    <w:spacing w:before="0" w:after="60"/>
                    <w:keepNext/>
                  </w:pPr>
                  <w:r>
                    <w:rPr>
                      <w:rFonts w:ascii="Calibri" w:hAnsi="Calibri"/>
                      <w:sz w:val="20"/>
                    </w:rPr>
                    <w:t xml:space="default">Plant cover</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 chamaejasme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Active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Tweedie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5"/>
                </w:tcPr>
                <w:p>
                  <w:pPr>
                    <w:spacing w:before="0" w:after="60"/>
                    <w:keepNext/>
                  </w:pPr>
                  <w:r>
                    <w:rPr>
                      <w:rFonts w:ascii="Calibri" w:hAnsi="Calibri"/>
                      <w:sz w:val="20"/>
                    </w:rPr>
                    <w:t xml:space="default">Forage quality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Crude protein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Acid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Neutral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5"/>
                </w:tcPr>
                <w:p>
                  <w:pPr>
                    <w:spacing w:before="0" w:after="60"/>
                    <w:keepNext/>
                  </w:pPr>
                  <w:r>
                    <w:rPr>
                      <w:rFonts w:ascii="Calibri" w:hAnsi="Calibri"/>
                      <w:sz w:val="20"/>
                    </w:rPr>
                    <w:t xml:space="default">Foraging efficiency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gridSpan w:val="5"/>
                </w:tcPr>
                <w:p>
                  <w:pPr>
                    <w:spacing w:before="0" w:after="60"/>
                    <w:keepNext/>
                  </w:pPr>
                  <w:r>
                    <w:rPr>
                      <w:rFonts w:ascii="Calibri" w:hAnsi="Calibri"/>
                      <w:sz w:val="20"/>
                    </w:rPr>
                    <w:t xml:space="default">GLMM = Generalized Linear Mixed Model; GAM = Generalized Additive Mixed Model; LM = Linear Model</w:t>
                  </w:r>
                </w:p>
              </w:tc>
            </w:tr>
          </w:tbl>
          <w:p>
            <w:pPr>
              <w:jc w:val="center"/>
            </w:pPr>
            <w:pPr>
              <w:jc w:val="left"/>
              <w:spacing w:before="200"/>
              <w:pStyle w:val="ImageCaption"/>
            </w:pPr>
            <w:r>
              <w:t xml:space="preserve">Supplementary Table 10: Summary of all statistical models used in the study, including model type, distribution family, random effects structure, and sample sizes. All field experiments (2022-2023) used a 2×2 factorial design with pika presence/absence and S. chamaejasme presence/absence treatments.</w:t>
            </w:r>
          </w:p>
          <w:bookmarkEnd w:id="46"/>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hyperlink" Id="rId14"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dc:title>
  <dc:creator>Douglas Lawton</dc:creator>
  <cp:keywords/>
  <dcterms:created xsi:type="dcterms:W3CDTF">2026-05-24T15:24:47Z</dcterms:created>
  <dcterms:modified xsi:type="dcterms:W3CDTF">2026-05-24T15:24:47Z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2026-05-24</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