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7.png" ContentType="image/png"/>
  <Override PartName="/word/media/rId43.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Pika-Yak Interaction: Plant Cover</w:t>
      </w:r>
    </w:p>
    <w:p>
      <w:pPr>
        <w:pStyle w:val="Author"/>
      </w:pPr>
      <w:r>
        <w:t xml:space="preserve">Douglas Lawton</w:t>
      </w:r>
    </w:p>
    <w:p>
      <w:pPr>
        <w:pStyle w:val="Date"/>
      </w:pPr>
      <w:r>
        <w:t xml:space="preserve">2025-10-20</w:t>
      </w:r>
    </w:p>
    <w:tbl>
      <w:tblPr>
        <w:tblStyle w:val="Table"/>
        <w:tblW w:type="pct" w:w="5000"/>
        <w:tblLayout w:type="fixed"/>
        <w:tblLook w:firstRow="0" w:lastRow="0" w:firstColumn="0" w:lastColumn="0" w:noHBand="0" w:noVBand="0" w:val="0000"/>
      </w:tblPr>
      <w:tblGrid>
        <w:gridCol w:w="7920"/>
      </w:tblGrid>
      <w:tr>
        <w:tc>
          <w:tcPr/>
          <w:bookmarkStart w:id="24" w:name="fig-hypothesis"/>
          <w:p>
            <w:pPr>
              <w:pStyle w:val="Compact"/>
              <w:jc w:val="center"/>
            </w:pPr>
            <w:bookmarkStart w:id="23" w:name="fig-hypothesis"/>
            <w:r>
              <w:drawing>
                <wp:inline>
                  <wp:extent cx="5334000" cy="3879272"/>
                  <wp:effectExtent b="0" l="0" r="0" t="0"/>
                  <wp:docPr descr="" title="" id="21" name="Picture"/>
                  <a:graphic>
                    <a:graphicData uri="http://schemas.openxmlformats.org/drawingml/2006/picture">
                      <pic:pic>
                        <pic:nvPicPr>
                          <pic:cNvPr descr="manuscript_figures_and_text_files/figure-docx/fig-hypothesis-1.png" id="22" name="Picture"/>
                          <pic:cNvPicPr>
                            <a:picLocks noChangeArrowheads="1" noChangeAspect="1"/>
                          </pic:cNvPicPr>
                        </pic:nvPicPr>
                        <pic:blipFill>
                          <a:blip r:embed="rId20"/>
                          <a:stretch>
                            <a:fillRect/>
                          </a:stretch>
                        </pic:blipFill>
                        <pic:spPr bwMode="auto">
                          <a:xfrm>
                            <a:off x="0" y="0"/>
                            <a:ext cx="5334000" cy="3879272"/>
                          </a:xfrm>
                          <a:prstGeom prst="rect">
                            <a:avLst/>
                          </a:prstGeom>
                          <a:noFill/>
                          <a:ln w="9525">
                            <a:noFill/>
                            <a:headEnd/>
                            <a:tailEnd/>
                          </a:ln>
                        </pic:spPr>
                      </pic:pic>
                    </a:graphicData>
                  </a:graphic>
                </wp:inline>
              </w:drawing>
            </w:r>
            <w:bookmarkEnd w:id="23"/>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24"/>
        </w:tc>
      </w:tr>
    </w:tbl>
    <w:bookmarkStart w:id="27" w:name="methods"/>
    <w:p>
      <w:pPr>
        <w:pStyle w:val="Heading1"/>
      </w:pPr>
      <w:r>
        <w:t xml:space="preserve">1. Methods</w:t>
      </w:r>
    </w:p>
    <w:bookmarkStart w:id="26"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total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25">
        <w:r>
          <w:rPr>
            <w:rStyle w:val="Hyperlink"/>
          </w:rPr>
          <w:t xml:space="preserve">https://github.com/ddlawton/pika_yak_interactions</w:t>
        </w:r>
      </w:hyperlink>
      <w:r>
        <w:t xml:space="preserve">.</w:t>
      </w:r>
    </w:p>
    <w:bookmarkEnd w:id="26"/>
    <w:bookmarkEnd w:id="27"/>
    <w:bookmarkStart w:id="42"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5</w:t>
        </w:r>
      </w:hyperlink>
      <w:r>
        <w:t xml:space="preserve">). When pika were present, yaks showed higher weight gain (</w:t>
      </w:r>
      <w:hyperlink w:anchor="supptbl-yak-performance-model-contrast">
        <w:r>
          <w:rPr>
            <w:rStyle w:val="Hyperlink"/>
          </w:rPr>
          <w:t xml:space="preserve">Supplementary Table 6</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and increased the crude protein content of total forage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suggesting that pika facilitate yak by enhancing both the quantity and quality of forage. Acid detergent fibre (6%) was higher in pika plots, while ether extract also differed significantly between treatments (</w:t>
      </w:r>
      <w:hyperlink w:anchor="fig-yak-performance">
        <w:r>
          <w:rPr>
            <w:rStyle w:val="Hyperlink"/>
          </w:rPr>
          <w:t xml:space="preserve">Figure 3</w:t>
        </w:r>
      </w:hyperlink>
      <w:r>
        <w:t xml:space="preserve"> </w:t>
      </w:r>
      <w:r>
        <w:t xml:space="preserve">E,F,</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4</w:t>
        </w:r>
      </w:hyperlink>
      <w:r>
        <w:t xml:space="preserve">, respectively. Pika and poisonous plants influenced sedge cover in a similar way as grass cover (</w:t>
      </w:r>
      <w:hyperlink w:anchor="suppfig-other-figs">
        <w:r>
          <w:rPr>
            <w:rStyle w:val="Hyperlink"/>
          </w:rPr>
          <w:t xml:space="preserve">Supplementary Figure 1</w:t>
        </w:r>
      </w:hyperlink>
      <w:r>
        <w:t xml:space="preserve"> </w:t>
      </w:r>
      <w:r>
        <w:t xml:space="preserve">A), while interactions with forb cover were more complex (</w:t>
      </w:r>
      <w:hyperlink w:anchor="suppfig-other-figs">
        <w:r>
          <w:rPr>
            <w:rStyle w:val="Hyperlink"/>
          </w:rPr>
          <w:t xml:space="preserve">Supplementary Figure 1</w:t>
        </w:r>
      </w:hyperlink>
      <w:r>
        <w:t xml:space="preserve"> </w:t>
      </w:r>
      <w:r>
        <w:t xml:space="preserve">B). There was no impact of pika or poisonous plants on neutral detergent fibre (</w:t>
      </w:r>
      <w:hyperlink w:anchor="suppfig-other-figs">
        <w:r>
          <w:rPr>
            <w:rStyle w:val="Hyperlink"/>
          </w:rPr>
          <w:t xml:space="preserve">Supplementary Figure 1</w:t>
        </w:r>
      </w:hyperlink>
      <w:r>
        <w:t xml:space="preserve"> </w:t>
      </w:r>
      <w:r>
        <w:t xml:space="preserve">C).</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total, sedge, and grass bite rates increased by roughly 35% (</w:t>
      </w:r>
      <w:hyperlink w:anchor="fig-yak-foraging-efficiency">
        <w:r>
          <w:rPr>
            <w:rStyle w:val="Hyperlink"/>
          </w:rPr>
          <w:t xml:space="preserve">Figure 4</w:t>
        </w:r>
      </w:hyperlink>
      <w:r>
        <w:t xml:space="preserve"> </w:t>
      </w:r>
      <w:r>
        <w:t xml:space="preserve">A),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7</w:t>
        </w:r>
      </w:hyperlink>
      <w:r>
        <w:t xml:space="preserve">,</w:t>
      </w:r>
      <w:r>
        <w:t xml:space="preserve"> </w:t>
      </w:r>
      <w:hyperlink w:anchor="supptbl-yak-foraging-efficiency-contrast">
        <w:r>
          <w:rPr>
            <w:rStyle w:val="Hyperlink"/>
          </w:rPr>
          <w:t xml:space="preserve">Supplementary Table 8</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Yak total steps were also higher in the presence of</w:t>
      </w:r>
      <w:r>
        <w:t xml:space="preserve"> </w:t>
      </w:r>
      <w:r>
        <w:rPr>
          <w:i/>
          <w:iCs/>
        </w:rPr>
        <w:t xml:space="preserve">S. chamaejasme</w:t>
      </w:r>
      <w:r>
        <w:t xml:space="preserve"> </w:t>
      </w:r>
      <w:r>
        <w:t xml:space="preserve">forbs when pika were absent (</w:t>
      </w:r>
      <w:hyperlink w:anchor="fig-yak-foraging-efficiency">
        <w:r>
          <w:rPr>
            <w:rStyle w:val="Hyperlink"/>
          </w:rPr>
          <w:t xml:space="preserve">Figure 4</w:t>
        </w:r>
      </w:hyperlink>
      <w:r>
        <w:t xml:space="preserve"> </w:t>
      </w:r>
      <w:r>
        <w:t xml:space="preserve">D). In contrast, sedge bites per step and grass bites per step increased significantly by 48%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32" w:name="fig-diet-selection"/>
          <w:p>
            <w:pPr>
              <w:pStyle w:val="Compact"/>
              <w:jc w:val="center"/>
            </w:pPr>
            <w:bookmarkStart w:id="31" w:name="fig-diet-selection"/>
            <w:r>
              <w:drawing>
                <wp:inline>
                  <wp:extent cx="5334000" cy="4923692"/>
                  <wp:effectExtent b="0" l="0" r="0" t="0"/>
                  <wp:docPr descr="" title="" id="29" name="Picture"/>
                  <a:graphic>
                    <a:graphicData uri="http://schemas.openxmlformats.org/drawingml/2006/picture">
                      <pic:pic>
                        <pic:nvPicPr>
                          <pic:cNvPr descr="manuscript_figures_and_text_files/figure-docx/fig-diet-selection-1.png" id="30" name="Picture"/>
                          <pic:cNvPicPr>
                            <a:picLocks noChangeArrowheads="1" noChangeAspect="1"/>
                          </pic:cNvPicPr>
                        </pic:nvPicPr>
                        <pic:blipFill>
                          <a:blip r:embed="rId28"/>
                          <a:stretch>
                            <a:fillRect/>
                          </a:stretch>
                        </pic:blipFill>
                        <pic:spPr bwMode="auto">
                          <a:xfrm>
                            <a:off x="0" y="0"/>
                            <a:ext cx="5334000" cy="4923692"/>
                          </a:xfrm>
                          <a:prstGeom prst="rect">
                            <a:avLst/>
                          </a:prstGeom>
                          <a:noFill/>
                          <a:ln w="9525">
                            <a:noFill/>
                            <a:headEnd/>
                            <a:tailEnd/>
                          </a:ln>
                        </pic:spPr>
                      </pic:pic>
                    </a:graphicData>
                  </a:graphic>
                </wp:inline>
              </w:drawing>
            </w:r>
            <w:bookmarkEnd w:id="31"/>
          </w:p>
          <w:p>
            <w:pPr>
              <w:jc w:val="center"/>
            </w:pPr>
            <w:pPr>
              <w:jc w:val="left"/>
              <w:spacing w:before="200"/>
              <w:pStyle w:val="ImageCaption"/>
            </w:pPr>
            <w:r>
              <w:t xml:space="preserve">Figure 2: Diet selection of pika and yak and their potential interactions mediated by poisonous plants in the field surveys in July 2021. (a) Feeding and clipping frequency of pika, and (b) grazing frequency of yak on the S. chamaejasme, sedges, grasses, and forbs in the 10 2 m × 2 m plots and the 10 250 m transects, respectively. (c) The relationship between active pika burrow density and S. chamaejasme cover, and (d) the relationship between S. chamaejasme cover and yak grazing activity in the 30 10 m × 10 m plots. (e) Two yak were grazing around the poisonous S. chamaejasme during its flowering season (i.e., May to June) in the study site. Different letters above the bars indicate significant differences at P &lt; 0.05.</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yak-performance"/>
          <w:p>
            <w:pPr>
              <w:pStyle w:val="Compact"/>
              <w:jc w:val="center"/>
            </w:pPr>
            <w:r>
              <w:drawing>
                <wp:inline>
                  <wp:extent cx="5334000" cy="6400800"/>
                  <wp:effectExtent b="0" l="0" r="0" t="0"/>
                  <wp:docPr descr="" title="" id="34" name="Picture"/>
                  <a:graphic>
                    <a:graphicData uri="http://schemas.openxmlformats.org/drawingml/2006/picture">
                      <pic:pic>
                        <pic:nvPicPr>
                          <pic:cNvPr descr="manuscript_figures_and_text_files/figure-docx/unnamed-chunk-1-1.png" id="35" name="Picture"/>
                          <pic:cNvPicPr>
                            <a:picLocks noChangeArrowheads="1" noChangeAspect="1"/>
                          </pic:cNvPicPr>
                        </pic:nvPicPr>
                        <pic:blipFill>
                          <a:blip r:embed="rId3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2-yr (2022-2023) pika and poisonous plant removal treatments on yak performance, forage quantity and quality in the field manipulated experiments. (a) yak weight gain, (b) S. chamaejasme cover, (c) grass cover, and (d) crude protein (CP) content of total forage based on dry mass. The average values of each variable in the two years were used for statistical analysis, providing a single data point for each variable in each 150 m × 150 m plot. (e) and (f) Show how S. chamaejasme abundance respond to the absence and presence of pika, respectively. Significant interactions between pika and S. chamaejasme plants were evaluated with post hoc comparisons; means that do not share letters are significantly different. Error bars represent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yak-foraging-efficiency"/>
          <w:p>
            <w:pPr>
              <w:pStyle w:val="Compact"/>
              <w:jc w:val="center"/>
            </w:pPr>
            <w:bookmarkStart w:id="40" w:name="fig-yak-foraging-efficiency"/>
            <w:r>
              <w:drawing>
                <wp:inline>
                  <wp:extent cx="5334000" cy="4267200"/>
                  <wp:effectExtent b="0" l="0" r="0" t="0"/>
                  <wp:docPr descr="" title="" id="38" name="Picture"/>
                  <a:graphic>
                    <a:graphicData uri="http://schemas.openxmlformats.org/drawingml/2006/picture">
                      <pic:pic>
                        <pic:nvPicPr>
                          <pic:cNvPr descr="manuscript_figures_and_text_files/figure-docx/fig-yak-foraging-efficiency-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4: Combined effects of 2-yr (2022-2023) pika and poisonous plant removal treatments on foraging efficiency of yak in the field manipulated experiments. (a) Total bite rate, (b) sedge bite rate, (c) grass bite rate, (d) total step rate, (e) sedge bites per step, and (f) grass bites per step. The average values of each variable in the two years were used for statistical analysis, providing a single data point for each variable in each 150 m × 150 m plot. Significant interactions between pika and S. chamaejasme plants were evaluated with post hoc comparisons; means that do not share letters are significantly different. Error bars represent +/- SE.</w:t>
            </w:r>
          </w:p>
          <w:bookmarkEnd w:id="41"/>
        </w:tc>
      </w:tr>
    </w:tbl>
    <w:bookmarkEnd w:id="42"/>
    <w:bookmarkStart w:id="55"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46" w:name="suppfig-other-figs"/>
          <w:p>
            <w:pPr>
              <w:pStyle w:val="Compact"/>
              <w:jc w:val="center"/>
            </w:pPr>
            <w:r>
              <w:drawing>
                <wp:inline>
                  <wp:extent cx="5334000" cy="4267200"/>
                  <wp:effectExtent b="0" l="0" r="0" t="0"/>
                  <wp:docPr descr="" title="" id="44" name="Picture"/>
                  <a:graphic>
                    <a:graphicData uri="http://schemas.openxmlformats.org/drawingml/2006/picture">
                      <pic:pic>
                        <pic:nvPicPr>
                          <pic:cNvPr descr="manuscript_figures_and_text_files/figure-docx/suppfig-other-figs-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1: Sedge cover percent (A), forb cover percent (B), ndf percent, total plant yak bites, and yak plant bite/steps by pika and</w:t>
            </w:r>
            <w:r>
              <w:t xml:space="preserve"> </w:t>
            </w:r>
            <w:r>
              <w:rPr>
                <w:i/>
                <w:iCs/>
              </w:rPr>
              <w:t xml:space="preserve">S. chamaejasme</w:t>
            </w:r>
            <w:r>
              <w:t xml:space="preserve"> </w:t>
            </w:r>
            <w:r>
              <w:t xml:space="preserve">treatment. Sedge cover was lower in no pika and</w:t>
            </w:r>
            <w:r>
              <w:t xml:space="preserve"> </w:t>
            </w:r>
            <w:r>
              <w:rPr>
                <w:i/>
                <w:iCs/>
              </w:rPr>
              <w:t xml:space="preserve">S. chamaejasme</w:t>
            </w:r>
            <w:r>
              <w:t xml:space="preserve"> </w:t>
            </w:r>
            <w:r>
              <w:t xml:space="preserve">plots than any other treatment level and there was a trending decrease in forb cover as well. in the same plot, but it was not significantly different from no pika, no</w:t>
            </w:r>
            <w:r>
              <w:t xml:space="preserve"> </w:t>
            </w:r>
            <w:r>
              <w:rPr>
                <w:i/>
                <w:iCs/>
              </w:rPr>
              <w:t xml:space="preserve">S. chamaejasme</w:t>
            </w:r>
            <w:r>
              <w:t xml:space="preserve"> </w:t>
            </w:r>
            <w:r>
              <w:t xml:space="preserve">plots and pika,</w:t>
            </w:r>
            <w:r>
              <w:t xml:space="preserve"> </w:t>
            </w:r>
            <w:r>
              <w:rPr>
                <w:i/>
                <w:iCs/>
              </w:rPr>
              <w:t xml:space="preserve">S. chamaejasme</w:t>
            </w:r>
            <w:r>
              <w:t xml:space="preserve"> </w:t>
            </w:r>
            <w:r>
              <w:t xml:space="preserve">plots.</w:t>
            </w:r>
            <w:r>
              <w:br/>
            </w:r>
            <w:r>
              <w:t xml:space="preserve">There was no signficant different in the interaction between pika and</w:t>
            </w:r>
            <w:r>
              <w:t xml:space="preserve"> </w:t>
            </w:r>
            <w:r>
              <w:rPr>
                <w:i/>
                <w:iCs/>
              </w:rPr>
              <w:t xml:space="preserve">S. chamaejasme</w:t>
            </w:r>
            <w:r>
              <w:t xml:space="preserve"> </w:t>
            </w:r>
            <w:r>
              <w:t xml:space="preserve">treatments for NDF, yak forb bite, and yak forb bite/step.</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w:t>
            </w:r>
          </w:p>
          <w:bookmarkEnd w:id="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with block, year, and month as random effects.</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4: Model summary for yak weight gain regressed on active burrow count. Estimates are from a generalized additive mixed model with block, year, and month as random effects.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5: Model summary for weight gain, grass cover, S. chamaejasme cover, crude protein %, acid detergent fibre %, and ether extract %.</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bl>
          <w:p>
            <w:pPr>
              <w:jc w:val="center"/>
            </w:pPr>
            <w:pPr>
              <w:jc w:val="left"/>
              <w:spacing w:before="200"/>
              <w:pStyle w:val="ImageCaption"/>
            </w:pPr>
            <w:r>
              <w:t xml:space="preserve">Supplementary Table 6: Model contrasts for weight gain, grass cover, S. chamaejasme cover, crude protein %, acid detergent fibre %, and ether extract %.</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plant bites (total, sedges, and grasses) and the bite to step ratio (sedges, and grasses) as well as total steps.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8: Model contrasts for plant bites (total, sedges, and grasses) and the bite to step ratio (sedges, and grasses) as well as total steps.</w:t>
            </w:r>
          </w:p>
          <w:bookmarkEnd w:id="54"/>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33" Target="media/rId33.png" /><Relationship Type="http://schemas.openxmlformats.org/officeDocument/2006/relationships/hyperlink" Id="rId25"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Pika-Yak Interaction: Plant Cover</dc:title>
  <dc:creator>Douglas Lawton</dc:creator>
  <cp:keywords/>
  <dcterms:created xsi:type="dcterms:W3CDTF">2025-10-20T14:59:40Z</dcterms:created>
  <dcterms:modified xsi:type="dcterms:W3CDTF">2025-10-20T14:59:40Z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2025-10-20</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