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9.png" ContentType="image/png"/>
  <Override PartName="/word/media/rId26.png" ContentType="image/png"/>
  <Override PartName="/word/media/rId22.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 and Results</w:t>
      </w:r>
    </w:p>
    <w:p>
      <w:pPr>
        <w:pStyle w:val="Author"/>
      </w:pPr>
      <w:r>
        <w:t xml:space="preserve">Douglas Lawton</w:t>
      </w:r>
    </w:p>
    <w:p>
      <w:pPr>
        <w:pStyle w:val="Date"/>
      </w:pPr>
      <w:r>
        <w:t xml:space="preserve">2026-05-25</w:t>
      </w:r>
    </w:p>
    <w:tbl>
      <w:tblPr>
        <w:tblStyle w:val="Table"/>
        <w:tblW w:type="pct" w:w="5000"/>
        <w:tblLayout w:type="fixed"/>
        <w:tblLook w:firstRow="0" w:lastRow="0" w:firstColumn="0" w:lastColumn="0" w:noHBand="0" w:noVBand="0" w:val="0000"/>
      </w:tblPr>
      <w:tblGrid>
        <w:gridCol w:w="7920"/>
      </w:tblGrid>
      <w:tr>
        <w:tc>
          <w:tcPr/>
          <w:bookmarkStart w:id="13" w:name="fig-hypothesis"/>
          <w:p>
            <w:pPr>
              <w:pStyle w:val="Compact"/>
              <w:jc w:val="center"/>
            </w:pPr>
            <w:bookmarkStart w:id="12" w:name="fig-hypothesis"/>
            <w:r>
              <w:drawing>
                <wp:inline>
                  <wp:extent cx="5334000" cy="3879272"/>
                  <wp:effectExtent b="0" l="0" r="0" t="0"/>
                  <wp:docPr descr="" title="" id="10" name="Picture"/>
                  <a:graphic>
                    <a:graphicData uri="http://schemas.openxmlformats.org/drawingml/2006/picture">
                      <pic:pic>
                        <pic:nvPicPr>
                          <pic:cNvPr descr="manuscript_figures_and_text_files/figure-docx/fig-hypothesis-1.pn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bookmarkEnd w:id="12"/>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13"/>
        </w:tc>
      </w:tr>
    </w:tbl>
    <w:bookmarkStart w:id="16" w:name="methods"/>
    <w:p>
      <w:pPr>
        <w:pStyle w:val="Heading1"/>
      </w:pPr>
      <w:r>
        <w:t xml:space="preserve">1. Methods</w:t>
      </w:r>
    </w:p>
    <w:bookmarkStart w:id="15"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14">
        <w:r>
          <w:rPr>
            <w:rStyle w:val="Hyperlink"/>
          </w:rPr>
          <w:t xml:space="preserve">https://github.com/ddlawton/pika_yak_interactions</w:t>
        </w:r>
      </w:hyperlink>
      <w:r>
        <w:t xml:space="preserve">.</w:t>
      </w:r>
    </w:p>
    <w:bookmarkEnd w:id="15"/>
    <w:bookmarkEnd w:id="16"/>
    <w:bookmarkStart w:id="31"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w:t>
      </w:r>
      <w:r>
        <w:t xml:space="preserve"> </w:t>
      </w:r>
      <w:hyperlink w:anchor="supptbl-pika-burrow-chamaejasme-gam">
        <w:r>
          <w:rPr>
            <w:rStyle w:val="Hyperlink"/>
          </w:rPr>
          <w:t xml:space="preserve">Supplementary Table 4</w:t>
        </w:r>
      </w:hyperlink>
      <w:r>
        <w:t xml:space="preserve">) and with yak foraging activity, as indicated by dung density (</w:t>
      </w:r>
      <w:hyperlink w:anchor="fig-diet-selection">
        <w:r>
          <w:rPr>
            <w:rStyle w:val="Hyperlink"/>
          </w:rPr>
          <w:t xml:space="preserve">Figure 2</w:t>
        </w:r>
      </w:hyperlink>
      <w:r>
        <w:t xml:space="preserve"> </w:t>
      </w:r>
      <w:r>
        <w:t xml:space="preserve">D,</w:t>
      </w:r>
      <w:r>
        <w:t xml:space="preserve"> </w:t>
      </w:r>
      <w:hyperlink w:anchor="supptbl-dung-chamaejasme-lm">
        <w:r>
          <w:rPr>
            <w:rStyle w:val="Hyperlink"/>
          </w:rPr>
          <w:t xml:space="preserve">Supplementary Table 5</w:t>
        </w:r>
      </w:hyperlink>
      <w:r>
        <w:t xml:space="preserve">).</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7</w:t>
        </w:r>
      </w:hyperlink>
      <w:r>
        <w:t xml:space="preserve">). When pika were present, yaks showed higher weight gain (</w:t>
      </w:r>
      <w:hyperlink w:anchor="supptbl-yak-performance-model-contrast">
        <w:r>
          <w:rPr>
            <w:rStyle w:val="Hyperlink"/>
          </w:rPr>
          <w:t xml:space="preserve">Supplementary Table 8</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and increased the crude protein content by approximately 15%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7</w:t>
        </w:r>
      </w:hyperlink>
      <w:r>
        <w:t xml:space="preserve">,</w:t>
      </w:r>
      <w:r>
        <w:t xml:space="preserve"> </w:t>
      </w:r>
      <w:hyperlink w:anchor="supptbl-yak-performance-model-contrast">
        <w:r>
          <w:rPr>
            <w:rStyle w:val="Hyperlink"/>
          </w:rPr>
          <w:t xml:space="preserve">Supplementary Table 8</w:t>
        </w:r>
      </w:hyperlink>
      <w:r>
        <w:t xml:space="preserve">), suggesting that pika facilitate yak by enhancing both the quantity and quality of forage. Acid detergent fibre (6%) was higher in pika plots.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6</w:t>
        </w:r>
      </w:hyperlink>
      <w:r>
        <w:t xml:space="preserve">, respectively.</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sedge, and grass bite rates increased by roughly 48% (</w:t>
      </w:r>
      <w:hyperlink w:anchor="fig-yak-foraging-efficiency">
        <w:r>
          <w:rPr>
            <w:rStyle w:val="Hyperlink"/>
          </w:rPr>
          <w:t xml:space="preserve">Figure 4</w:t>
        </w:r>
      </w:hyperlink>
      <w:r>
        <w:t xml:space="preserve"> </w:t>
      </w:r>
      <w:r>
        <w:t xml:space="preserve">B), and 70%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9</w:t>
        </w:r>
      </w:hyperlink>
      <w:r>
        <w:t xml:space="preserve">,</w:t>
      </w:r>
      <w:r>
        <w:t xml:space="preserve"> </w:t>
      </w:r>
      <w:hyperlink w:anchor="supptbl-yak-foraging-efficiency-contrast">
        <w:r>
          <w:rPr>
            <w:rStyle w:val="Hyperlink"/>
          </w:rPr>
          <w:t xml:space="preserve">Supplementary Table 10</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Sedge bites per step and grass bites per step increased significantly by 89% (</w:t>
      </w:r>
      <w:hyperlink w:anchor="fig-yak-foraging-efficiency">
        <w:r>
          <w:rPr>
            <w:rStyle w:val="Hyperlink"/>
          </w:rPr>
          <w:t xml:space="preserve">Figure 4</w:t>
        </w:r>
      </w:hyperlink>
      <w:r>
        <w:t xml:space="preserve"> </w:t>
      </w:r>
      <w:r>
        <w:t xml:space="preserve">E) and 70%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21" w:name="fig-diet-selection"/>
          <w:p>
            <w:pPr>
              <w:pStyle w:val="Compact"/>
              <w:jc w:val="center"/>
            </w:pPr>
            <w:bookmarkStart w:id="20" w:name="fig-diet-selection"/>
            <w:r>
              <w:drawing>
                <wp:inline>
                  <wp:extent cx="5334000" cy="4923692"/>
                  <wp:effectExtent b="0" l="0" r="0" t="0"/>
                  <wp:docPr descr="" title="" id="18" name="Picture"/>
                  <a:graphic>
                    <a:graphicData uri="http://schemas.openxmlformats.org/drawingml/2006/picture">
                      <pic:pic>
                        <pic:nvPicPr>
                          <pic:cNvPr descr="manuscript_figures_and_text_files/figure-docx/fig-diet-selection-1.png" id="19" name="Picture"/>
                          <pic:cNvPicPr>
                            <a:picLocks noChangeArrowheads="1" noChangeAspect="1"/>
                          </pic:cNvPicPr>
                        </pic:nvPicPr>
                        <pic:blipFill>
                          <a:blip r:embed="rId17"/>
                          <a:stretch>
                            <a:fillRect/>
                          </a:stretch>
                        </pic:blipFill>
                        <pic:spPr bwMode="auto">
                          <a:xfrm>
                            <a:off x="0" y="0"/>
                            <a:ext cx="5334000" cy="4923692"/>
                          </a:xfrm>
                          <a:prstGeom prst="rect">
                            <a:avLst/>
                          </a:prstGeom>
                          <a:noFill/>
                          <a:ln w="9525">
                            <a:noFill/>
                            <a:headEnd/>
                            <a:tailEnd/>
                          </a:ln>
                        </pic:spPr>
                      </pic:pic>
                    </a:graphicData>
                  </a:graphic>
                </wp:inline>
              </w:drawing>
            </w:r>
            <w:bookmarkEnd w:id="20"/>
          </w:p>
          <w:p>
            <w:pPr>
              <w:jc w:val="center"/>
            </w:pPr>
            <w:pPr>
              <w:jc w:val="left"/>
              <w:spacing w:before="200"/>
              <w:pStyle w:val="ImageCaption"/>
            </w:pPr>
            <w:r>
              <w:t xml:space="preserve">Figure 2: Diet selection of pikas and yaks and their potential interactions</w:t>
            </w:r>
            <w:r>
              <w:t xml:space="preserve"> </w:t>
            </w:r>
            <w:r>
              <w:t xml:space="preserve">mediated by poisonous plants based on field surveys in July 2021. (A) Feeding</w:t>
            </w:r>
            <w:r>
              <w:t xml:space="preserve"> </w:t>
            </w:r>
            <w:r>
              <w:t xml:space="preserve">and clipping frequencies of pikas (n = 10 plots), and (B) grazing frequencies of yaks on grasses,</w:t>
            </w:r>
            <w:r>
              <w:t xml:space="preserve"> </w:t>
            </w:r>
            <w:r>
              <w:t xml:space="preserve">sedges, forbs, and Stellera chamaejasme (n = 10 transects) across 10 2 × 2 m plots and 10 250 m</w:t>
            </w:r>
            <w:r>
              <w:t xml:space="preserve"> </w:t>
            </w:r>
            <w:r>
              <w:t xml:space="preserve">transects, respectively. (C) Relationship between active pika burrow density and S.</w:t>
            </w:r>
            <w:r>
              <w:t xml:space="preserve"> </w:t>
            </w:r>
            <w:r>
              <w:t xml:space="preserve">chamaejasme cover (n = 30 plots), and (D) between S. chamaejasme cover and an index of yak</w:t>
            </w:r>
            <w:r>
              <w:t xml:space="preserve"> </w:t>
            </w:r>
            <w:r>
              <w:t xml:space="preserve">grazing activity (dung density) in 30 10 × 10 m plots. (E) Photographs showing (left</w:t>
            </w:r>
            <w:r>
              <w:t xml:space="preserve"> </w:t>
            </w:r>
            <w:r>
              <w:t xml:space="preserve">to right) a pika at its burrow entrance, flowering S. chamaejasme, and a yak grazing</w:t>
            </w:r>
            <w:r>
              <w:t xml:space="preserve"> </w:t>
            </w:r>
            <w:r>
              <w:t xml:space="preserve">among S. chamaejasme plants. Different letters above bars indicate significant</w:t>
            </w:r>
            <w:r>
              <w:t xml:space="preserve"> </w:t>
            </w:r>
            <w:r>
              <w:t xml:space="preserve">differences at P &lt; 0.05. Credits: Xiaona Zheng (photographs).</w:t>
            </w:r>
          </w:p>
          <w:bookmarkEnd w:id="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yak-performance"/>
          <w:p>
            <w:pPr>
              <w:pStyle w:val="Compact"/>
              <w:jc w:val="center"/>
            </w:pPr>
            <w:r>
              <w:drawing>
                <wp:inline>
                  <wp:extent cx="5334000" cy="6400800"/>
                  <wp:effectExtent b="0" l="0" r="0" t="0"/>
                  <wp:docPr descr="" title="" id="23" name="Picture"/>
                  <a:graphic>
                    <a:graphicData uri="http://schemas.openxmlformats.org/drawingml/2006/picture">
                      <pic:pic>
                        <pic:nvPicPr>
                          <pic:cNvPr descr="manuscript_figures_and_text_files/figure-docx/unnamed-chunk-1-1.png" id="24" name="Picture"/>
                          <pic:cNvPicPr>
                            <a:picLocks noChangeArrowheads="1" noChangeAspect="1"/>
                          </pic:cNvPicPr>
                        </pic:nvPicPr>
                        <pic:blipFill>
                          <a:blip r:embed="rId22"/>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two-year (2022–2023) pika and Stellera</w:t>
            </w:r>
            <w:r>
              <w:t xml:space="preserve"> </w:t>
            </w:r>
            <w:r>
              <w:t xml:space="preserve">chamaejasme removal treatments on yak growth, forage quantity, and quality in</w:t>
            </w:r>
            <w:r>
              <w:t xml:space="preserve"> </w:t>
            </w:r>
            <w:r>
              <w:t xml:space="preserve">the field manipulative experiment. (A) Pika density (indicated by active burrow</w:t>
            </w:r>
            <w:r>
              <w:t xml:space="preserve"> </w:t>
            </w:r>
            <w:r>
              <w:t xml:space="preserve">density), (B) yak weight gain, (C) relationship between pika density and yak weight</w:t>
            </w:r>
            <w:r>
              <w:t xml:space="preserve"> </w:t>
            </w:r>
            <w:r>
              <w:t xml:space="preserve">gain, (D) S. chamaejasme cover, (E) grass cover, (F) sedge cover, (G) crude protein</w:t>
            </w:r>
            <w:r>
              <w:t xml:space="preserve"> </w:t>
            </w:r>
            <w:r>
              <w:t xml:space="preserve">(CP) content, and (H) acid detergent fibre (ADF) content. Average values from both years were used in</w:t>
            </w:r>
            <w:r>
              <w:t xml:space="preserve"> </w:t>
            </w:r>
            <w:r>
              <w:t xml:space="preserve">analyses, yielding one data point per 150 × 150 m plot (n = 16 plots: 4 plots per treatment combination). Significant interactions</w:t>
            </w:r>
            <w:r>
              <w:t xml:space="preserve"> </w:t>
            </w:r>
            <w:r>
              <w:t xml:space="preserve">between pikas and S. chamaejasme were evaluated using post hoc tests; means not</w:t>
            </w:r>
            <w:r>
              <w:t xml:space="preserve"> </w:t>
            </w:r>
            <w:r>
              <w:t xml:space="preserve">sharing letters differ significantly. For panels A and F, only main effects were</w:t>
            </w:r>
            <w:r>
              <w:t xml:space="preserve"> </w:t>
            </w:r>
            <w:r>
              <w:t xml:space="preserve">significant (Table S3). Error bars indicate +/- SE.</w:t>
            </w:r>
          </w:p>
          <w:bookmarkEnd w:id="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yak-foraging-efficiency"/>
          <w:p>
            <w:pPr>
              <w:pStyle w:val="Compact"/>
              <w:jc w:val="center"/>
            </w:pPr>
            <w:bookmarkStart w:id="29" w:name="fig-yak-foraging-efficiency"/>
            <w:r>
              <w:drawing>
                <wp:inline>
                  <wp:extent cx="5334000" cy="4267200"/>
                  <wp:effectExtent b="0" l="0" r="0" t="0"/>
                  <wp:docPr descr="" title="" id="27" name="Picture"/>
                  <a:graphic>
                    <a:graphicData uri="http://schemas.openxmlformats.org/drawingml/2006/picture">
                      <pic:pic>
                        <pic:nvPicPr>
                          <pic:cNvPr descr="manuscript_figures_and_text_files/figure-docx/fig-yak-foraging-efficiency-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bookmarkEnd w:id="29"/>
          </w:p>
          <w:p>
            <w:pPr>
              <w:jc w:val="center"/>
            </w:pPr>
            <w:pPr>
              <w:jc w:val="left"/>
              <w:spacing w:before="200"/>
              <w:pStyle w:val="ImageCaption"/>
            </w:pPr>
            <w:r>
              <w:t xml:space="preserve">Figure 4: Combined effects of two-year (2022–2023) pika and Stellera</w:t>
            </w:r>
            <w:r>
              <w:t xml:space="preserve"> </w:t>
            </w:r>
            <w:r>
              <w:t xml:space="preserve">chamaejasme removal treatments on yak foraging efficiency in the field</w:t>
            </w:r>
            <w:r>
              <w:t xml:space="preserve"> </w:t>
            </w:r>
            <w:r>
              <w:t xml:space="preserve">manipulative experiment. (A, B) Bite rates and (C, D) bites per step for sedges and</w:t>
            </w:r>
            <w:r>
              <w:t xml:space="preserve"> </w:t>
            </w:r>
            <w:r>
              <w:t xml:space="preserve">grasses, respectively. Mean values from both years were used for analysis (one data</w:t>
            </w:r>
            <w:r>
              <w:t xml:space="preserve"> </w:t>
            </w:r>
            <w:r>
              <w:t xml:space="preserve">point per 150 × 150 m plot; n = 16 plots: 4 plots per treatment combination). Significant interactions between pikas and S.</w:t>
            </w:r>
            <w:r>
              <w:t xml:space="preserve"> </w:t>
            </w:r>
            <w:r>
              <w:t xml:space="preserve">chamaejasme were evaluated using post hoc tests; means not sharing letters differ</w:t>
            </w:r>
            <w:r>
              <w:t xml:space="preserve"> </w:t>
            </w:r>
            <w:r>
              <w:t xml:space="preserve">significantly. Error bars indicate +/- SE.</w:t>
            </w:r>
          </w:p>
          <w:bookmarkEnd w:id="30"/>
        </w:tc>
      </w:tr>
    </w:tbl>
    <w:bookmarkEnd w:id="31"/>
    <w:bookmarkStart w:id="48"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32" w:name="suppfig-ndf-plot"/>
          <w:p>
            <w:pPr>
              <w:pStyle w:val="Compact"/>
              <w:jc w:val="center"/>
            </w:pPr>
            <w:r>
              <w:t xml:space="preserve">Combined effects of two-year (2022–2023) pika and Stellera</w:t>
            </w:r>
            <w:r>
              <w:t xml:space="preserve"> </w:t>
            </w:r>
            <w:r>
              <w:t xml:space="preserve">chamaejasme removal on forb cover in the field manipulative experiment. The</w:t>
            </w:r>
            <w:r>
              <w:t xml:space="preserve"> </w:t>
            </w:r>
            <w:r>
              <w:t xml:space="preserve">average values of each variable in the two years were used for statistical analysis,</w:t>
            </w:r>
            <w:r>
              <w:t xml:space="preserve"> </w:t>
            </w:r>
            <w:r>
              <w:t xml:space="preserve">providing a single data point for each variable in each 150 × 150 m plot (n = 16 plots: 4 plots per treatment combination). Error bars</w:t>
            </w:r>
            <w:r>
              <w:t xml:space="preserve"> </w:t>
            </w:r>
            <w:r>
              <w:t xml:space="preserve">represent +/- SE.</w:t>
            </w:r>
          </w:p>
          <w:p>
            <w:pPr>
              <w:jc w:val="center"/>
            </w:pPr>
            <w:pPr>
              <w:jc w:val="left"/>
              <w:spacing w:before="200"/>
              <w:pStyle w:val="ImageCaption"/>
            </w:pPr>
            <w:r>
              <w:t xml:space="preserve">Supplementary Figure 1</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suppfig-forb-bite-steps"/>
          <w:p>
            <w:pPr>
              <w:pStyle w:val="Compact"/>
              <w:jc w:val="center"/>
            </w:pPr>
            <w:r>
              <w:drawing>
                <wp:inline>
                  <wp:extent cx="4620126" cy="3696101"/>
                  <wp:effectExtent b="0" l="0" r="0" t="0"/>
                  <wp:docPr descr="" title="" id="34" name="Picture"/>
                  <a:graphic>
                    <a:graphicData uri="http://schemas.openxmlformats.org/drawingml/2006/picture">
                      <pic:pic>
                        <pic:nvPicPr>
                          <pic:cNvPr descr="manuscript_figures_and_text_files/figure-docx/unnamed-chunk-3-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two-year (2022–2023) pika and Stellera</w:t>
            </w:r>
            <w:r>
              <w:t xml:space="preserve"> </w:t>
            </w:r>
            <w:r>
              <w:t xml:space="preserve">chamaejasme removal on foraging efficiency of yaks in the field manipulative experiment. (A) bite rates and (B) bites per step of yaks for forbs, respectively. The</w:t>
            </w:r>
            <w:r>
              <w:t xml:space="preserve"> </w:t>
            </w:r>
            <w:r>
              <w:t xml:space="preserve">average values of each variable in the two years were used for statistical analysis,</w:t>
            </w:r>
            <w:r>
              <w:t xml:space="preserve"> </w:t>
            </w:r>
            <w:r>
              <w:t xml:space="preserve">providing a single data point for each variable in each 150 × 150 m plot (n = 16 plots: 4 plots per treatment combination). Error bars</w:t>
            </w:r>
            <w:r>
              <w:t xml:space="preserve"> </w:t>
            </w:r>
            <w:r>
              <w:t xml:space="preserve">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 Pika feeding model: beta distribution, n = 10 plots. Yak feeding model: beta distribution, n = 10 transects.</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 (pika: n = 10 plots; yak: n = 10 transects).</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(Tweedie distribution) with block, year, and month as random effects (n = 16 plots, 2 years).</w:t>
            </w:r>
          </w:p>
          <w:bookmarkEnd w:id="3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supptbl-pika-burrow-chamaejasme-gam"/>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ref.df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 pika burrow density)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s(plot)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r>
          </w:tbl>
          <w:p>
            <w:pPr>
              <w:jc w:val="center"/>
            </w:pPr>
            <w:pPr>
              <w:jc w:val="left"/>
              <w:spacing w:before="200"/>
              <w:pStyle w:val="ImageCaption"/>
            </w:pPr>
            <w:r>
              <w:t xml:space="preserve">Supplementary Table 4: Model summary for S. chamaejasme cover regressed on active pika burrow density. Estimates are from a generalized additive mixed model (Gaussian family) with plot as a random effect (n = 30 plots).</w:t>
            </w:r>
          </w:p>
          <w:bookmarkEnd w:id="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supptbl-dung-chamaejasme-lm"/>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cover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5: Model summary for yak dung density regressed on S. chamaejasme cover. Estimates are from a linear regression model (n = 30 plots).</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6: Model summary for yak weight gain regressed on active burrow count in plots with both pika presence and S. chamaejasme presence. Estimates are from a generalized additive mixed model (Gaussian family) with block, year, and month as random effects (n = 24 observations from the pika + S. chamaejasme treatment).</w:t>
            </w:r>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weight gain, grass cover, S. chamaejasme cover, crude protein %, acid detergent fibre %. All models are generalized linear mixed models with block, year, and month as random effects (n = 16 plots, 2 years). Distributions: weight gain (Gaussian), cover variables (beta), forage quality variables (Gaussian).</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weight gain, grass cover, S. chamaejasme cover, crude protein %, and acid detergent fibre % of total forage for yaks (n = 16 plots, 2 years).</w:t>
            </w:r>
          </w:p>
          <w:bookmarkEnd w:id="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9: Model summary for plant bites/h and the bites to step ratio for sedges, grasses, and forbs. All models are generalized linear mixed models (beta distribution for proportions, Gaussian for counts) with block, year, and month as random effects (n = 16 plots, 2 years).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10: Model contrasts for plant bites and the bites to step ratio for sedges, grasses, and forbs (n = 16 plots, 2 years).</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tbl-model-overview"/>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Statistical Models Summary</w:t>
            </w:r>
          </w:p>
          <w:p>
            <w:pPr>
              <w:spacing w:before="0" w:after="60"/>
              <w:keepNext/>
              <w:jc w:val="start"/>
              <w:pStyle w:val="caption"/>
            </w:pPr>
            <w:r>
              <w:rPr>
                <w:rFonts w:ascii="Calibri" w:hAnsi="Calibri"/>
                <w:sz w:val="20"/>
                <w:color w:val="333333"/>
              </w:rPr>
              <w:t xml:space="default">Overview of all models used in the study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5F5F5F"/>
                    <w:bottom w:val="single" w:sz="16" w:space="0" w:color="5F5F5F"/>
                    <w:start w:val="single" w:space="0" w:color="D3D3D3"/>
                  </w:tcBorders>
                </w:tcPr>
                <w:p>
                  <w:pPr>
                    <w:spacing w:before="0" w:after="60"/>
                    <w:keepNext/>
                    <w:jc w:val="start"/>
                  </w:pPr>
                  <w:r>
                    <w:rPr>
                      <w:rFonts w:ascii="Calibri" w:hAnsi="Calibri"/>
                      <w:sz w:val="20"/>
                    </w:rPr>
                    <w:t xml:space="default">Response Variable</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Model Type</w:t>
                  </w:r>
                </w:p>
              </w:tc>
              <w:tc>
                <w:tcPr>
                  <w:tcBorders>
                    <w:top w:val="single" w:sz="16" w:space="0" w:color="5F5F5F"/>
                    <w:bottom w:val="single" w:sz="16" w:space="0" w:color="5F5F5F"/>
                  </w:tcBorders>
                </w:tcPr>
                <w:p>
                  <w:pPr>
                    <w:spacing w:before="0" w:after="60"/>
                    <w:keepNext/>
                    <w:jc w:val="center"/>
                  </w:pPr>
                  <w:r>
                    <w:rPr>
                      <w:rFonts w:ascii="Calibri" w:hAnsi="Calibri"/>
                      <w:sz w:val="20"/>
                    </w:rPr>
                    <w:t xml:space="default">Distribution/Family</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Interaction Terms</w:t>
                  </w:r>
                </w:p>
              </w:tc>
              <w:tc>
                <w:tcPr>
                  <w:tcBorders>
                    <w:top w:val="single" w:sz="16" w:space="0" w:color="5F5F5F"/>
                    <w:bottom w:val="single" w:sz="16" w:space="0" w:color="5F5F5F"/>
                  </w:tcBorders>
                </w:tcPr>
                <w:p>
                  <w:pPr>
                    <w:spacing w:before="0" w:after="60"/>
                    <w:keepNext/>
                    <w:jc w:val="start"/>
                  </w:pPr>
                  <w:r>
                    <w:rPr>
                      <w:rFonts w:ascii="Calibri" w:hAnsi="Calibri"/>
                      <w:sz w:val="20"/>
                    </w:rPr>
                    <w:t xml:space="default">Random Effects</w:t>
                  </w:r>
                </w:p>
              </w:tc>
              <w:tc>
                <w:tcPr>
                  <w:tcBorders>
                    <w:top w:val="single" w:sz="16" w:space="0" w:color="5F5F5F"/>
                    <w:bottom w:val="single" w:sz="16" w:space="0" w:color="5F5F5F"/>
                    <w:end w:val="single" w:space="0" w:color="D3D3D3"/>
                  </w:tcBorders>
                </w:tcPr>
                <w:p>
                  <w:pPr>
                    <w:spacing w:before="0" w:after="60"/>
                    <w:keepNext/>
                    <w:jc w:val="center"/>
                  </w:pPr>
                  <w:r>
                    <w:rPr>
                      <w:rFonts w:ascii="Calibri" w:hAnsi="Calibri"/>
                      <w:sz w:val="20"/>
                    </w:rPr>
                    <w:t xml:space="default">Sample Size</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Diet selection</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feeding frequency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plot,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10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grazing frequency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transect,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10 transects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 chamaejasme cover</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plot</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30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dung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LM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30 plots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Yak performance</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weight gain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Yak weight gain (vs burrow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GAM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Plant cover</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Grasses</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Sedges</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Forbs</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S_chamaejasme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Active burrow density</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Forage quality</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Crude protein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Acid detergent fiber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Neutral detergent fiber (%)</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z="16" w:space="0" w:color="5F5F5F"/>
                    <w:bottom w:val="single" w:sz="16" w:space="0" w:color="5F5F5F"/>
                    <w:start w:val="single" w:space="0" w:color="D3D3D3"/>
                    <w:end w:val="single" w:space="0" w:color="D3D3D3"/>
                  </w:tcBorders>
                  <w:tcMar>
                    <w:top w:w="25" w:type="dxa"/>
                  </w:tcMar>
                  <w:gridSpan w:val="6"/>
                </w:tcPr>
                <w:p>
                  <w:pPr>
                    <w:spacing w:before="0" w:after="60"/>
                    <w:keepNext/>
                  </w:pPr>
                  <w:r>
                    <w:rPr>
                      <w:rFonts w:ascii="Calibri" w:hAnsi="Calibri"/>
                      <w:sz w:val="20"/>
                    </w:rPr>
                    <w:t xml:space="default">Foraging efficiency</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Tweedie (p = 0.04)</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Gaussian</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 bite rate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Tweedie (p = 0.07)</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year,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 2 years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Sedge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Grass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Forb bites/step</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GLMM</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Beta</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pika × S. chamaejasme</w:t>
                  </w:r>
                </w:p>
              </w:tc>
              <w:tc>
                <w:tcPr>
                  <w:tcBorders>
                    <w:top w:val="single" w:space="0" w:color="D5D5D5"/>
                    <w:bottom w:val="single" w:space="0" w:color="D5D5D5"/>
                    <w:start w:val="single" w:space="0" w:color="D5D5D5"/>
                    <w:end w:val="single" w:space="0" w:color="D5D5D5"/>
                  </w:tcBorders>
                </w:tcPr>
                <w:p>
                  <w:pPr>
                    <w:spacing w:before="0" w:after="60"/>
                    <w:keepNext/>
                    <w:jc w:val="start"/>
                  </w:pPr>
                  <w:r>
                    <w:rPr>
                      <w:rFonts w:ascii="Calibri" w:hAnsi="Calibri"/>
                      <w:sz w:val="20"/>
                    </w:rPr>
                    <w:t xml:space="default">block, month</w:t>
                  </w:r>
                </w:p>
              </w:tc>
              <w:tc>
                <w:tcPr>
                  <w:tcBorders>
                    <w:top w:val="single" w:space="0" w:color="D5D5D5"/>
                    <w:bottom w:val="single" w:space="0" w:color="D5D5D5"/>
                    <w:start w:val="single" w:space="0" w:color="D5D5D5"/>
                    <w:end w:val="single" w:space="0" w:color="D5D5D5"/>
                  </w:tcBorders>
                </w:tcPr>
                <w:p>
                  <w:pPr>
                    <w:spacing w:before="0" w:after="60"/>
                    <w:keepNext/>
                    <w:jc w:val="center"/>
                  </w:pPr>
                  <w:r>
                    <w:rPr>
                      <w:rFonts w:ascii="Calibri" w:hAnsi="Calibri"/>
                      <w:sz w:val="20"/>
                    </w:rPr>
                    <w:t xml:space="default">n = 16 plots</w:t>
                  </w:r>
                </w:p>
              </w:tc>
            </w:tr>
            <w:tr>
              <w:trPr>
                <w:cantSplit/>
              </w:trPr>
              <w:tc>
                <w:tcPr>
                  <w:gridSpan w:val="6"/>
                </w:tcPr>
                <w:p>
                  <w:pPr>
                    <w:spacing w:before="0" w:after="60"/>
                    <w:keepNext/>
                  </w:pPr>
                  <w:r>
                    <w:rPr>
                      <w:rFonts w:ascii="Calibri" w:hAnsi="Calibri"/>
                      <w:sz w:val="20"/>
                    </w:rPr>
                    <w:t xml:space="default">GLMM = Generalized Linear Mixed Model; GAM = Generalized Additive Mixed Model; LM = Linear Model. For Tweedie distributions, p indicates the power parameter.</w:t>
                  </w:r>
                </w:p>
              </w:tc>
            </w:tr>
          </w:tbl>
          <w:p>
            <w:pPr>
              <w:jc w:val="center"/>
            </w:pPr>
            <w:pPr>
              <w:jc w:val="left"/>
              <w:spacing w:before="200"/>
              <w:pStyle w:val="ImageCaption"/>
            </w:pPr>
            <w:r>
              <w:t xml:space="preserve">Supplementary Table 11: Summary of all statistical models used in the study, including response variables, model type, distribution family (with Tweedie power parameter where applicable), interaction terms, random effects structure, and sample sizes. All field experiments (2022-2023) used a 2×2 factorial design with pika presence/absence and S. chamaejasme presence/absence treatments.</w:t>
            </w:r>
          </w:p>
          <w:bookmarkEnd w:id="47"/>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hyperlink" Id="rId14"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and Results</dc:title>
  <dc:creator>Douglas Lawton</dc:creator>
  <cp:keywords/>
  <dcterms:created xsi:type="dcterms:W3CDTF">2026-05-25T23:35:52Z</dcterms:created>
  <dcterms:modified xsi:type="dcterms:W3CDTF">2026-05-25T23:35:52Z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