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Planning Review — Q4 2026</w:t>
      </w:r>
    </w:p>
    <w:p>
      <w:r>
        <w:t>Attendees: Alex, Kim, Jordan. Notes taken by Kim.</w:t>
      </w:r>
    </w:p>
    <w:p>
      <w:r>
        <w:t>Decision: the marketing budget for Q4 is approved at EUR 6,500, split between the newsletter and two local events.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Launch the monthly newsletter</w:t>
            </w:r>
          </w:p>
        </w:tc>
        <w:tc>
          <w:tcPr>
            <w:tcW w:type="dxa" w:w="2880"/>
          </w:tcPr>
          <w:p>
            <w:r>
              <w:t>Alex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Hire a part-time designer</w:t>
            </w:r>
          </w:p>
        </w:tc>
        <w:tc>
          <w:tcPr>
            <w:tcW w:type="dxa" w:w="2880"/>
          </w:tcPr>
          <w:p>
            <w:r>
              <w:t>Kim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Move the archive to the new shelves</w:t>
            </w:r>
          </w:p>
        </w:tc>
        <w:tc>
          <w:tcPr>
            <w:tcW w:type="dxa" w:w="2880"/>
          </w:tcPr>
          <w:p>
            <w:r>
              <w:t>Jordan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