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12F3F"/>
        </w:rPr>
        <w:t xml:space="preserve">i-engage: Enterprise Security &amp; Architecture Whitepaper</w:t>
      </w:r>
    </w:p>
    <w:p>
      <w:pPr>
        <w:spacing w:after="298"/>
      </w:pPr>
      <w:r>
        <w:rPr>
          <w:rFonts w:ascii="Arial" w:hAnsi="Arial" w:cs="Arial"/>
          <w:sz w:val="36"/>
          <w:sz-cs w:val="36"/>
          <w:b/>
          <w:spacing w:val="0"/>
          <w:color w:val="28384B"/>
        </w:rPr>
        <w:t xml:space="preserve">1. Executive Summary</w:t>
      </w:r>
    </w:p>
    <w:p>
      <w:pPr>
        <w:spacing w:after="200"/>
      </w:pPr>
      <w:r>
        <w:rPr>
          <w:rFonts w:ascii="Arial" w:hAnsi="Arial" w:cs="Arial"/>
          <w:sz w:val="24"/>
          <w:sz-cs w:val="24"/>
          <w:b/>
          <w:spacing w:val="0"/>
        </w:rPr>
        <w:t xml:space="preserve">i-engage</w:t>
      </w:r>
      <w:r>
        <w:rPr>
          <w:rFonts w:ascii="Arial" w:hAnsi="Arial" w:cs="Arial"/>
          <w:sz w:val="24"/>
          <w:sz-cs w:val="24"/>
          <w:spacing w:val="0"/>
        </w:rPr>
        <w:t xml:space="preserve"> is an Enterprise Internal Audit Management System engineered specifically for highly regulated environments, including banking, financial services, and large-scale enterprises. Designed with a </w:t>
      </w:r>
      <w:r>
        <w:rPr>
          <w:rFonts w:ascii="Arial" w:hAnsi="Arial" w:cs="Arial"/>
          <w:sz w:val="24"/>
          <w:sz-cs w:val="24"/>
          <w:b/>
          <w:spacing w:val="0"/>
        </w:rPr>
        <w:t xml:space="preserve">Zero-Trust</w:t>
      </w:r>
      <w:r>
        <w:rPr>
          <w:rFonts w:ascii="Arial" w:hAnsi="Arial" w:cs="Arial"/>
          <w:sz w:val="24"/>
          <w:sz-cs w:val="24"/>
          <w:spacing w:val="0"/>
        </w:rPr>
        <w:t xml:space="preserve"> and </w:t>
      </w:r>
      <w:r>
        <w:rPr>
          <w:rFonts w:ascii="Arial" w:hAnsi="Arial" w:cs="Arial"/>
          <w:sz w:val="24"/>
          <w:sz-cs w:val="24"/>
          <w:b/>
          <w:spacing w:val="0"/>
        </w:rPr>
        <w:t xml:space="preserve">100% On-Premises</w:t>
      </w:r>
      <w:r>
        <w:rPr>
          <w:rFonts w:ascii="Arial" w:hAnsi="Arial" w:cs="Arial"/>
          <w:sz w:val="24"/>
          <w:sz-cs w:val="24"/>
          <w:spacing w:val="0"/>
        </w:rPr>
        <w:t xml:space="preserve"> philosophy, i-engage guarantees total data sovereignty. The system operates entirely within the client's corporate firewall, makes absolutely zero external API calls (no telemetry, no "phoning home"), and is fully capable of running in completely air-gapped network environments.</w:t>
      </w:r>
    </w:p>
    <w:p>
      <w:pPr>
        <w:spacing w:after="298"/>
      </w:pPr>
      <w:r>
        <w:rPr>
          <w:rFonts w:ascii="Arial" w:hAnsi="Arial" w:cs="Arial"/>
          <w:sz w:val="36"/>
          <w:sz-cs w:val="36"/>
          <w:b/>
          <w:spacing w:val="0"/>
          <w:color w:val="28384B"/>
        </w:rPr>
        <w:t xml:space="preserve">2. System Architecture</w:t>
      </w:r>
    </w:p>
    <w:p>
      <w:pPr>
        <w:spacing w:after="200"/>
      </w:pPr>
      <w:r>
        <w:rPr>
          <w:rFonts w:ascii="Arial" w:hAnsi="Arial" w:cs="Arial"/>
          <w:sz w:val="24"/>
          <w:sz-cs w:val="24"/>
          <w:spacing w:val="0"/>
        </w:rPr>
        <w:t xml:space="preserve">i-engage leverages a modern, containerized, and secure tech stack designed to integrate seamlessly into existing enterprise infrastructures.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Application Layer:</w:t>
      </w:r>
      <w:r>
        <w:rPr>
          <w:rFonts w:ascii="Arial" w:hAnsi="Arial" w:cs="Arial"/>
          <w:sz w:val="24"/>
          <w:sz-cs w:val="24"/>
          <w:spacing w:val="0"/>
        </w:rPr>
        <w:t xml:space="preserve"> Built on Next.js 16 (App Router) using React and Node.js. It operates as a cohesive monolith, eliminating the risk of insecure microservice-to-microservice communication.</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Database Layer:</w:t>
      </w:r>
      <w:r>
        <w:rPr>
          <w:rFonts w:ascii="Arial" w:hAnsi="Arial" w:cs="Arial"/>
          <w:sz w:val="24"/>
          <w:sz-cs w:val="24"/>
          <w:spacing w:val="0"/>
        </w:rPr>
        <w:t xml:space="preserve"> MySQL (MariaDB) accessed via Prisma v7 ORM. All queries are strictly parameterized, eliminating SQL Injection vulnerabilities.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Search Engine:</w:t>
      </w:r>
      <w:r>
        <w:rPr>
          <w:rFonts w:ascii="Arial" w:hAnsi="Arial" w:cs="Arial"/>
          <w:sz w:val="24"/>
          <w:sz-cs w:val="24"/>
          <w:spacing w:val="0"/>
        </w:rPr>
        <w:t xml:space="preserve"> Meilisearch (Rust-based). Runs locally and indexes plain-text data offline, ensuring audit data is never sent to third-party cloud search providers.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Deployment:</w:t>
      </w:r>
      <w:r>
        <w:rPr>
          <w:rFonts w:ascii="Arial" w:hAnsi="Arial" w:cs="Arial"/>
          <w:sz w:val="24"/>
          <w:sz-cs w:val="24"/>
          <w:spacing w:val="0"/>
        </w:rPr>
        <w:t xml:space="preserve"> Fully Dockerized. The application, database, and search components run in isolated, secure containers.</w:t>
      </w:r>
    </w:p>
    <w:p>
      <w:pPr>
        <w:spacing w:after="298"/>
      </w:pPr>
      <w:r>
        <w:rPr>
          <w:rFonts w:ascii="Arial" w:hAnsi="Arial" w:cs="Arial"/>
          <w:sz w:val="36"/>
          <w:sz-cs w:val="36"/>
          <w:b/>
          <w:spacing w:val="0"/>
          <w:color w:val="28384B"/>
        </w:rPr>
        <w:t xml:space="preserve">3. Authentication &amp; Access Control</w:t>
      </w:r>
    </w:p>
    <w:p>
      <w:pPr>
        <w:spacing w:after="200"/>
      </w:pPr>
      <w:r>
        <w:rPr>
          <w:rFonts w:ascii="Arial" w:hAnsi="Arial" w:cs="Arial"/>
          <w:sz w:val="24"/>
          <w:sz-cs w:val="24"/>
          <w:spacing w:val="0"/>
        </w:rPr>
        <w:t xml:space="preserve">Security in internal audit software requires granular, context-aware access control to prevent Insider Threats.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Enterprise SSO Integration:</w:t>
      </w:r>
      <w:r>
        <w:rPr>
          <w:rFonts w:ascii="Arial" w:hAnsi="Arial" w:cs="Arial"/>
          <w:sz w:val="24"/>
          <w:sz-cs w:val="24"/>
          <w:spacing w:val="0"/>
        </w:rPr>
        <w:t xml:space="preserve"> i-engage natively supports SAML 2.0, OAuth2, and Microsoft Entra ID (Active Directory), allowing organizations to enforce their own MFA and password rotation policies.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Role-Based Access Control (RBAC):</w:t>
      </w:r>
      <w:r>
        <w:rPr>
          <w:rFonts w:ascii="Arial" w:hAnsi="Arial" w:cs="Arial"/>
          <w:sz w:val="24"/>
          <w:sz-cs w:val="24"/>
          <w:spacing w:val="0"/>
        </w:rPr>
        <w:t xml:space="preserve"> Strict separation of duties across the audit lifecycle (Preparer, Reviewer, Approver, Admin).</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Row-Level Security (RLS) &amp; IDOR Prevention:</w:t>
      </w:r>
      <w:r>
        <w:rPr>
          <w:rFonts w:ascii="Arial" w:hAnsi="Arial" w:cs="Arial"/>
          <w:sz w:val="24"/>
          <w:sz-cs w:val="24"/>
          <w:spacing w:val="0"/>
        </w:rPr>
        <w:t xml:space="preserve"> Every single API request validates not just the user's role, but their specific assignment to the target Engagement/Workpaper. It is impossible for a user to manipulate URLs to access unauthorized audits.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Maker-Checker Workflow:</w:t>
      </w:r>
      <w:r>
        <w:rPr>
          <w:rFonts w:ascii="Arial" w:hAnsi="Arial" w:cs="Arial"/>
          <w:sz w:val="24"/>
          <w:sz-cs w:val="24"/>
          <w:spacing w:val="0"/>
        </w:rPr>
        <w:t xml:space="preserve"> Built-in enforcement of the "Four Eyes Principle". A preparer cannot approve their own work, and top-down lock mechanisms prevent post-approval tampering.</w:t>
      </w:r>
    </w:p>
    <w:p>
      <w:pPr>
        <w:spacing w:after="298"/>
      </w:pPr>
      <w:r>
        <w:rPr>
          <w:rFonts w:ascii="Arial" w:hAnsi="Arial" w:cs="Arial"/>
          <w:sz w:val="36"/>
          <w:sz-cs w:val="36"/>
          <w:b/>
          <w:spacing w:val="0"/>
          <w:color w:val="28384B"/>
        </w:rPr>
        <w:t xml:space="preserve">4. Data Security &amp; Integrity</w:t>
      </w:r>
    </w:p>
    <w:p>
      <w:pPr>
        <w:spacing w:after="200"/>
      </w:pPr>
      <w:r>
        <w:rPr>
          <w:rFonts w:ascii="Arial" w:hAnsi="Arial" w:cs="Arial"/>
          <w:sz w:val="24"/>
          <w:sz-cs w:val="24"/>
          <w:spacing w:val="0"/>
        </w:rPr>
        <w:t xml:space="preserve">Protecting the confidentiality and integrity of audit findings, risks, and evidence.</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Immutable Audit Trails:</w:t>
      </w:r>
      <w:r>
        <w:rPr>
          <w:rFonts w:ascii="Arial" w:hAnsi="Arial" w:cs="Arial"/>
          <w:sz w:val="24"/>
          <w:sz-cs w:val="24"/>
          <w:spacing w:val="0"/>
        </w:rPr>
        <w:t xml:space="preserve"> Sign-offs and critical state changes use an "append-only" event sourcing model in the database. Signatures are never deleted; instead, cryptographic compensating events (e.g., "UNSIGN") are recorded, providing a 100% transparent history of document lifecycle.</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Data in Transit:</w:t>
      </w:r>
      <w:r>
        <w:rPr>
          <w:rFonts w:ascii="Arial" w:hAnsi="Arial" w:cs="Arial"/>
          <w:sz w:val="24"/>
          <w:sz-cs w:val="24"/>
          <w:spacing w:val="0"/>
        </w:rPr>
        <w:t xml:space="preserve"> i-engage is designed to sit behind the enterprise's Reverse Proxy / Application Load Balancer (ALB), supporting end-to-end TLS 1.3 encryption.</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Evidence Storage Security:</w:t>
      </w:r>
      <w:r>
        <w:rPr>
          <w:rFonts w:ascii="Arial" w:hAnsi="Arial" w:cs="Arial"/>
          <w:sz w:val="24"/>
          <w:sz-cs w:val="24"/>
          <w:spacing w:val="0"/>
        </w:rPr>
        <w:t xml:space="preserve"> Uploaded evidence (PDFs, Excel, etc.) undergoes strict MIME-type validation. Files are abstracted with randomized UUIDs upon storage to prevent Path Traversal attacks, and are served securely to mitigate Stored XSS.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Rich Text Sanitization:</w:t>
      </w:r>
      <w:r>
        <w:rPr>
          <w:rFonts w:ascii="Arial" w:hAnsi="Arial" w:cs="Arial"/>
          <w:sz w:val="24"/>
          <w:sz-cs w:val="24"/>
          <w:spacing w:val="0"/>
        </w:rPr>
        <w:t xml:space="preserve"> All user-generated rich text (Tiptap JSON) is rigorously sanitized on the server before rendering to prevent Cross-Site Scripting (XSS).</w:t>
      </w:r>
    </w:p>
    <w:p>
      <w:pPr>
        <w:spacing w:after="298"/>
      </w:pPr>
      <w:r>
        <w:rPr>
          <w:rFonts w:ascii="Arial" w:hAnsi="Arial" w:cs="Arial"/>
          <w:sz w:val="36"/>
          <w:sz-cs w:val="36"/>
          <w:b/>
          <w:spacing w:val="0"/>
          <w:color w:val="28384B"/>
        </w:rPr>
        <w:t xml:space="preserve">5. Vulnerability Management &amp; SDLC</w:t>
      </w:r>
    </w:p>
    <w:p>
      <w:pPr>
        <w:spacing w:after="200"/>
      </w:pPr>
      <w:r>
        <w:rPr>
          <w:rFonts w:ascii="Arial" w:hAnsi="Arial" w:cs="Arial"/>
          <w:sz w:val="24"/>
          <w:sz-cs w:val="24"/>
          <w:spacing w:val="0"/>
        </w:rPr>
        <w:t xml:space="preserve">i-engage follows secure software development lifecycle (SDLC) practices: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SAST &amp; DAST:</w:t>
      </w:r>
      <w:r>
        <w:rPr>
          <w:rFonts w:ascii="Arial" w:hAnsi="Arial" w:cs="Arial"/>
          <w:sz w:val="24"/>
          <w:sz-cs w:val="24"/>
          <w:spacing w:val="0"/>
        </w:rPr>
        <w:t xml:space="preserve"> The codebase is subjected to Static and Dynamic Application Security Testing prior to every release.</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Dependency Scanning:</w:t>
      </w:r>
      <w:r>
        <w:rPr>
          <w:rFonts w:ascii="Arial" w:hAnsi="Arial" w:cs="Arial"/>
          <w:sz w:val="24"/>
          <w:sz-cs w:val="24"/>
          <w:spacing w:val="0"/>
        </w:rPr>
        <w:t xml:space="preserve"> Container images and Node.js packages are continuously scanned for known CVEs (Common Vulnerabilities and Exposures).</w:t>
      </w:r>
    </w:p>
    <w:p>
      <w:pPr>
        <w:ind w:left="720" w:first-line="-720"/>
        <w:spacing w:after="100"/>
      </w:pPr>
      <w:r>
        <w:rPr>
          <w:rFonts w:ascii="Arial" w:hAnsi="Arial" w:cs="Arial"/>
          <w:sz w:val="24"/>
          <w:sz-cs w:val="24"/>
          <w:b/>
        </w:rPr>
        <w:t xml:space="preserve"/>
        <w:tab/>
        <w:t xml:space="preserve">•</w:t>
        <w:tab/>
        <w:t xml:space="preserve"/>
      </w:r>
      <w:r>
        <w:rPr>
          <w:rFonts w:ascii="Arial" w:hAnsi="Arial" w:cs="Arial"/>
          <w:sz w:val="24"/>
          <w:sz-cs w:val="24"/>
          <w:b/>
          <w:spacing w:val="0"/>
        </w:rPr>
        <w:t xml:space="preserve">Client Pen-Testing Friendly:</w:t>
      </w:r>
      <w:r>
        <w:rPr>
          <w:rFonts w:ascii="Arial" w:hAnsi="Arial" w:cs="Arial"/>
          <w:sz w:val="24"/>
          <w:sz-cs w:val="24"/>
          <w:spacing w:val="0"/>
        </w:rPr>
        <w:t xml:space="preserve"> Because i-engage is self-hosted via Docker, client InfoSec and Red Teams are encouraged to deploy the images in a sandbox environment and run their own enterprise scanners (e.g., Nessus, Qualys, OWASP ZAP) prior to production deployment.</w:t>
      </w:r>
    </w:p>
    <w:p>
      <w:pPr>
        <w:spacing w:after="298"/>
      </w:pPr>
      <w:r>
        <w:rPr>
          <w:rFonts w:ascii="Arial" w:hAnsi="Arial" w:cs="Arial"/>
          <w:sz w:val="36"/>
          <w:sz-cs w:val="36"/>
          <w:b/>
          <w:spacing w:val="0"/>
          <w:color w:val="28384B"/>
        </w:rPr>
        <w:t xml:space="preserve">6. Deployment Hardening Recommendations</w:t>
      </w:r>
    </w:p>
    <w:p>
      <w:pPr>
        <w:spacing w:after="200"/>
      </w:pPr>
      <w:r>
        <w:rPr>
          <w:rFonts w:ascii="Arial" w:hAnsi="Arial" w:cs="Arial"/>
          <w:sz w:val="24"/>
          <w:sz-cs w:val="24"/>
          <w:spacing w:val="0"/>
        </w:rPr>
        <w:t xml:space="preserve">To maximize security, we recommend clients deploy i-engage using the following architecture:</w:t>
      </w:r>
    </w:p>
    <w:p>
      <w:pPr>
        <w:ind w:left="720" w:first-line="-720"/>
        <w:spacing w:after="100"/>
      </w:pPr>
      <w:r>
        <w:rPr>
          <w:rFonts w:ascii="Arial" w:hAnsi="Arial" w:cs="Arial"/>
          <w:sz w:val="24"/>
          <w:sz-cs w:val="24"/>
        </w:rPr>
        <w:t xml:space="preserve"/>
        <w:tab/>
        <w:t xml:space="preserve">•</w:t>
        <w:tab/>
        <w:t xml:space="preserve"/>
      </w:r>
      <w:r>
        <w:rPr>
          <w:rFonts w:ascii="Arial" w:hAnsi="Arial" w:cs="Arial"/>
          <w:sz w:val="24"/>
          <w:sz-cs w:val="24"/>
          <w:spacing w:val="0"/>
        </w:rPr>
        <w:t xml:space="preserve">Deploy the Docker containers on a private subnet with no inbound internet access.</w:t>
      </w:r>
    </w:p>
    <w:p>
      <w:pPr>
        <w:ind w:left="720" w:first-line="-720"/>
        <w:spacing w:after="100"/>
      </w:pPr>
      <w:r>
        <w:rPr>
          <w:rFonts w:ascii="Arial" w:hAnsi="Arial" w:cs="Arial"/>
          <w:sz w:val="24"/>
          <w:sz-cs w:val="24"/>
        </w:rPr>
        <w:t xml:space="preserve"/>
        <w:tab/>
        <w:t xml:space="preserve">•</w:t>
        <w:tab/>
        <w:t xml:space="preserve"/>
      </w:r>
      <w:r>
        <w:rPr>
          <w:rFonts w:ascii="Arial" w:hAnsi="Arial" w:cs="Arial"/>
          <w:sz w:val="24"/>
          <w:sz-cs w:val="24"/>
          <w:spacing w:val="0"/>
        </w:rPr>
        <w:t xml:space="preserve">Place a Web Application Firewall (WAF) in front of the application layer.</w:t>
      </w:r>
    </w:p>
    <w:p>
      <w:pPr>
        <w:ind w:left="720" w:first-line="-720"/>
        <w:spacing w:after="100"/>
      </w:pPr>
      <w:r>
        <w:rPr>
          <w:rFonts w:ascii="Arial" w:hAnsi="Arial" w:cs="Arial"/>
          <w:sz w:val="24"/>
          <w:sz-cs w:val="24"/>
        </w:rPr>
        <w:t xml:space="preserve"/>
        <w:tab/>
        <w:t xml:space="preserve">•</w:t>
        <w:tab/>
        <w:t xml:space="preserve"/>
      </w:r>
      <w:r>
        <w:rPr>
          <w:rFonts w:ascii="Arial" w:hAnsi="Arial" w:cs="Arial"/>
          <w:sz w:val="24"/>
          <w:sz-cs w:val="24"/>
          <w:spacing w:val="0"/>
        </w:rPr>
        <w:t xml:space="preserve">Terminate SSL/TLS at the load balancer or reverse proxy (e.g., Nginx, F5).</w:t>
      </w:r>
    </w:p>
    <w:p>
      <w:pPr>
        <w:ind w:left="720" w:first-line="-720"/>
        <w:spacing w:after="100"/>
      </w:pPr>
      <w:r>
        <w:rPr>
          <w:rFonts w:ascii="Arial" w:hAnsi="Arial" w:cs="Arial"/>
          <w:sz w:val="24"/>
          <w:sz-cs w:val="24"/>
        </w:rPr>
        <w:t xml:space="preserve"/>
        <w:tab/>
        <w:t xml:space="preserve">•</w:t>
        <w:tab/>
        <w:t xml:space="preserve"/>
      </w:r>
      <w:r>
        <w:rPr>
          <w:rFonts w:ascii="Arial" w:hAnsi="Arial" w:cs="Arial"/>
          <w:sz w:val="24"/>
          <w:sz-cs w:val="24"/>
          <w:spacing w:val="0"/>
        </w:rPr>
        <w:t xml:space="preserve">Isolate the MySQL/MariaDB instance on a dedicated, heavily restricted VLAN accessible only by the application container.</w:t>
      </w:r>
    </w:p>
    <w:p>
      <w:pPr>
        <w:spacing w:after="200"/>
      </w:pPr>
      <w:r>
        <w:rPr>
          <w:rFonts w:ascii="Arial" w:hAnsi="Arial" w:cs="Arial"/>
          <w:sz w:val="24"/>
          <w:sz-cs w:val="24"/>
          <w:i/>
          <w:spacing w:val="0"/>
        </w:rPr>
        <w:t xml:space="preserve">For further technical inquiries or to request a sandbox deployment for internal penetration testing, please contact the i-engage implementation team.</w:t>
      </w:r>
      <w:r>
        <w:rPr>
          <w:rFonts w:ascii="Arial" w:hAnsi="Arial" w:cs="Arial"/>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CocoaOOXMLWriter/2299.4</generator>
</meta>
</file>