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36C" w:rsidRDefault="0051136C" w:rsidP="0051136C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Средство выпускается  в виде перфорированных рулонов салфеток, помещенных в полимерные контейнеры, снабженные открывающейся и герметично закрывающейся крышкой со специальным отверстием-прорезью для извлечения одной салфетки.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</w:rPr>
        <w:br/>
      </w:r>
      <w:r>
        <w:rPr>
          <w:rFonts w:ascii="Arial" w:hAnsi="Arial"/>
          <w:b/>
          <w:bCs/>
          <w:color w:val="333333"/>
        </w:rPr>
        <w:br/>
        <w:t>Назначение:</w:t>
      </w:r>
      <w:r>
        <w:rPr>
          <w:rFonts w:ascii="Arial" w:hAnsi="Arial"/>
          <w:color w:val="333333"/>
        </w:rPr>
        <w:br/>
        <w:t>Обработка кожных покровов:</w:t>
      </w:r>
      <w:r>
        <w:rPr>
          <w:rFonts w:ascii="Arial" w:hAnsi="Arial"/>
          <w:color w:val="333333"/>
        </w:rPr>
        <w:br/>
        <w:t>гигиеническая обработка рук</w:t>
      </w:r>
      <w:r>
        <w:rPr>
          <w:rFonts w:ascii="Arial" w:hAnsi="Arial"/>
          <w:color w:val="333333"/>
        </w:rPr>
        <w:br/>
        <w:t>дезинфекции ступней ног</w:t>
      </w:r>
      <w:r>
        <w:rPr>
          <w:rFonts w:ascii="Arial" w:hAnsi="Arial"/>
          <w:color w:val="333333"/>
        </w:rPr>
        <w:br/>
        <w:t xml:space="preserve">а также очистка и экспресс-дезинфекция небольших по площади предметов и твердых </w:t>
      </w:r>
      <w:proofErr w:type="spellStart"/>
      <w:r>
        <w:rPr>
          <w:rFonts w:ascii="Arial" w:hAnsi="Arial"/>
          <w:color w:val="333333"/>
        </w:rPr>
        <w:t>эпидемиологически</w:t>
      </w:r>
      <w:proofErr w:type="spellEnd"/>
      <w:r>
        <w:rPr>
          <w:rFonts w:ascii="Arial" w:hAnsi="Arial"/>
          <w:color w:val="333333"/>
        </w:rPr>
        <w:t xml:space="preserve"> значимых поверхностей, контактирующих с руками или загрязненных биологическими субстратами</w:t>
      </w:r>
    </w:p>
    <w:p w:rsidR="0051136C" w:rsidRDefault="0051136C" w:rsidP="0051136C">
      <w:pPr>
        <w:pStyle w:val="a3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b/>
          <w:bCs/>
          <w:color w:val="333333"/>
        </w:rPr>
        <w:t>Антимикробная активность:</w:t>
      </w:r>
      <w:r>
        <w:rPr>
          <w:rFonts w:ascii="Arial" w:hAnsi="Arial"/>
          <w:color w:val="333333"/>
        </w:rPr>
        <w:br/>
        <w:t>Бактерии, кроме микобактерий туберкулеза</w:t>
      </w:r>
      <w:r>
        <w:rPr>
          <w:rFonts w:ascii="Arial" w:hAnsi="Arial"/>
          <w:color w:val="333333"/>
        </w:rPr>
        <w:br/>
        <w:t xml:space="preserve">Вирусы полиомиелита, гепатитов, ВИЧ, герпеса, гриппа и ОРВИ, атипичной пневмонии, </w:t>
      </w:r>
      <w:proofErr w:type="spellStart"/>
      <w:r>
        <w:rPr>
          <w:rFonts w:ascii="Arial" w:hAnsi="Arial"/>
          <w:color w:val="333333"/>
        </w:rPr>
        <w:t>адено</w:t>
      </w:r>
      <w:proofErr w:type="spellEnd"/>
      <w:r>
        <w:rPr>
          <w:rFonts w:ascii="Arial" w:hAnsi="Arial"/>
          <w:color w:val="333333"/>
        </w:rPr>
        <w:t xml:space="preserve">-, </w:t>
      </w:r>
      <w:proofErr w:type="spellStart"/>
      <w:r>
        <w:rPr>
          <w:rFonts w:ascii="Arial" w:hAnsi="Arial"/>
          <w:color w:val="333333"/>
        </w:rPr>
        <w:t>энтеровирусы</w:t>
      </w:r>
      <w:proofErr w:type="spellEnd"/>
      <w:r>
        <w:rPr>
          <w:rFonts w:ascii="Arial" w:hAnsi="Arial"/>
          <w:color w:val="333333"/>
        </w:rPr>
        <w:t xml:space="preserve">, рота-, </w:t>
      </w:r>
      <w:proofErr w:type="spellStart"/>
      <w:r>
        <w:rPr>
          <w:rFonts w:ascii="Arial" w:hAnsi="Arial"/>
          <w:color w:val="333333"/>
        </w:rPr>
        <w:t>норовирусы</w:t>
      </w:r>
      <w:proofErr w:type="spellEnd"/>
      <w:r>
        <w:rPr>
          <w:rFonts w:ascii="Arial" w:hAnsi="Arial"/>
          <w:color w:val="333333"/>
        </w:rPr>
        <w:t xml:space="preserve"> и др.</w:t>
      </w:r>
      <w:r>
        <w:rPr>
          <w:rFonts w:ascii="Arial" w:hAnsi="Arial"/>
          <w:color w:val="333333"/>
        </w:rPr>
        <w:br/>
        <w:t xml:space="preserve">Патогенные грибы родов </w:t>
      </w:r>
      <w:proofErr w:type="spellStart"/>
      <w:r>
        <w:rPr>
          <w:rFonts w:ascii="Arial" w:hAnsi="Arial"/>
          <w:color w:val="333333"/>
        </w:rPr>
        <w:t>Кандида</w:t>
      </w:r>
      <w:proofErr w:type="spellEnd"/>
      <w:r>
        <w:rPr>
          <w:rFonts w:ascii="Arial" w:hAnsi="Arial"/>
          <w:color w:val="333333"/>
        </w:rPr>
        <w:t xml:space="preserve"> и Трихофитон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</w:rPr>
        <w:br/>
      </w:r>
      <w:r>
        <w:rPr>
          <w:rFonts w:ascii="Arial" w:hAnsi="Arial"/>
          <w:b/>
          <w:bCs/>
          <w:color w:val="333333"/>
        </w:rPr>
        <w:t>Преимущества</w:t>
      </w:r>
      <w:r>
        <w:rPr>
          <w:rFonts w:ascii="Arial" w:hAnsi="Arial"/>
          <w:color w:val="333333"/>
        </w:rPr>
        <w:br/>
        <w:t>Не содержит спирта</w:t>
      </w:r>
      <w:r>
        <w:rPr>
          <w:rFonts w:ascii="Arial" w:hAnsi="Arial"/>
          <w:color w:val="333333"/>
        </w:rPr>
        <w:br/>
        <w:t>Не имеет запаха</w:t>
      </w:r>
      <w:r>
        <w:rPr>
          <w:rFonts w:ascii="Arial" w:hAnsi="Arial"/>
          <w:color w:val="333333"/>
        </w:rPr>
        <w:br/>
        <w:t>Широкая антимикробная активность</w:t>
      </w:r>
      <w:r>
        <w:rPr>
          <w:rFonts w:ascii="Arial" w:hAnsi="Arial"/>
          <w:color w:val="333333"/>
        </w:rPr>
        <w:br/>
        <w:t>Короткая экспозиция</w:t>
      </w:r>
      <w:r>
        <w:rPr>
          <w:rFonts w:ascii="Arial" w:hAnsi="Arial"/>
          <w:color w:val="333333"/>
        </w:rPr>
        <w:br/>
        <w:t>Пролонгированное действие не менее 3-х часов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</w:rPr>
        <w:br/>
      </w:r>
      <w:r>
        <w:rPr>
          <w:rFonts w:ascii="Arial" w:hAnsi="Arial"/>
          <w:b/>
          <w:bCs/>
          <w:color w:val="333333"/>
        </w:rPr>
        <w:t>Область применения:</w:t>
      </w:r>
      <w:r>
        <w:rPr>
          <w:rFonts w:ascii="Arial" w:hAnsi="Arial"/>
          <w:color w:val="333333"/>
        </w:rPr>
        <w:br/>
        <w:t xml:space="preserve">Медицинские организации любого профиля, включая службы родовспоможения, центры экстракорпорального оплодотворения, детские, </w:t>
      </w:r>
      <w:proofErr w:type="spellStart"/>
      <w:r>
        <w:rPr>
          <w:rFonts w:ascii="Arial" w:hAnsi="Arial"/>
          <w:color w:val="333333"/>
        </w:rPr>
        <w:t>неонатологические</w:t>
      </w:r>
      <w:proofErr w:type="spellEnd"/>
      <w:r>
        <w:rPr>
          <w:rFonts w:ascii="Arial" w:hAnsi="Arial"/>
          <w:color w:val="333333"/>
        </w:rPr>
        <w:t>, стоматологические клиники, диагностические лаборатории кожно-венерологические и инфекционные отделения, отделения физиотерапевтического профиля, станции переливания крови, донорские пункты, станции и машины скорой помощи, детские и взрослые поликлиники, патологоанатомические отделения, санпропускники; санаторно-курортные учреждения; учреждения соцобеспечения; объекты социальной сферы (пансионаты, дома отдыха, интернаты и др.), инфекционные очаги, очаги особо опасных инфекций, объекты массового скопления людей (вокзалы, аэропорты, метрополитен, железнодорожный транспорт, городской наземный транспорт, культурно-развлекательные, торговые, оздоровительные, спортивные, административные объекты, фитнес центры); предприятия коммунально-бытового обслуживания населения (парикмахерские, косметические салоны, массажные кабинеты, солярии, плавательные бассейны, общественные туалеты, бани, сауны, гостиницы, общежития и др.); учреждения образования, культуры, отдыха, спорта; объекты МО, МЧС, ГО, воинские и пенитенциарные учреждения,  детские дошкольные, школьные и другие общеобразовательные и оздоровительные учреждения, автотранспорт для перевозки пищевых продуктов, санитарный, специальный автотранспорт; предприятия общественного питания, продовольственной торговли, пищевой промышленности; учреждения фармацевтической и биотехнологической промышленности, аптечные учреждения.</w:t>
      </w:r>
      <w:r>
        <w:rPr>
          <w:rFonts w:ascii="Arial" w:hAnsi="Arial"/>
          <w:color w:val="333333"/>
        </w:rPr>
        <w:br/>
        <w:t xml:space="preserve">Средство предназначено для профессионального применения персоналом учреждений и </w:t>
      </w:r>
      <w:proofErr w:type="spellStart"/>
      <w:r>
        <w:rPr>
          <w:rFonts w:ascii="Arial" w:hAnsi="Arial"/>
          <w:color w:val="333333"/>
        </w:rPr>
        <w:t>клининговых</w:t>
      </w:r>
      <w:proofErr w:type="spellEnd"/>
      <w:r>
        <w:rPr>
          <w:rFonts w:ascii="Arial" w:hAnsi="Arial"/>
          <w:color w:val="333333"/>
        </w:rPr>
        <w:t xml:space="preserve"> компаний, населением в быту</w:t>
      </w:r>
      <w:r>
        <w:rPr>
          <w:rFonts w:ascii="Arial" w:hAnsi="Arial"/>
          <w:color w:val="333333"/>
        </w:rPr>
        <w:br/>
      </w:r>
      <w:r>
        <w:rPr>
          <w:rFonts w:ascii="Arial" w:hAnsi="Arial"/>
          <w:color w:val="333333"/>
        </w:rPr>
        <w:lastRenderedPageBreak/>
        <w:br/>
        <w:t>Срок годности средства составляет 3 года со дня изготовления в невскрытой упаковке производителя, при соблюдении условий хранения. После вскрытия упаковки – в течение 6 месяцев при хранении в плотно закрытом контейнере (упаковке) с соблюдением температурного режима.</w:t>
      </w:r>
    </w:p>
    <w:p w:rsidR="00F3733E" w:rsidRDefault="00F3733E">
      <w:bookmarkStart w:id="0" w:name="_GoBack"/>
      <w:bookmarkEnd w:id="0"/>
    </w:p>
    <w:sectPr w:rsidR="00F3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3E"/>
    <w:rsid w:val="0051136C"/>
    <w:rsid w:val="00F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3CB88-3E9A-4F31-B451-33E18D66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2020-04-06T09:37:00Z</dcterms:created>
  <dcterms:modified xsi:type="dcterms:W3CDTF">2020-04-06T09:37:00Z</dcterms:modified>
</cp:coreProperties>
</file>