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ptos" w:cs="Aptos" w:eastAsia="Aptos" w:hAnsi="Aptos"/>
          <w:b w:val="1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I-GUIDE DATA CARD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The I-GUIDE Data Card is an easy-to-use tool that will allow you to create documentation for each dataset that you create or use in a project. 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Using this tool will help facilitate transparency and reproducibility of your project. It will also help you comply with data management and sharing policies of journals, funding agencies, and universities.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The Data Card applies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Secondary Datasets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: Data sourced from external repositories or other researchers;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Primary Datasets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Data collected through experiments, fieldwork, or user-generated sources;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Data obtained via web scraping, API collection, or similar automated means.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ptos" w:cs="Aptos" w:eastAsia="Aptos" w:hAnsi="Aptos"/>
          <w:b w:val="1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Data Card Attribution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This Data Card template is an adapted version of materials originally developed by Google’s </w:t>
      </w:r>
      <w:r w:rsidDel="00000000" w:rsidR="00000000" w:rsidRPr="00000000">
        <w:rPr>
          <w:rFonts w:ascii="Aptos" w:cs="Aptos" w:eastAsia="Aptos" w:hAnsi="Aptos"/>
          <w:i w:val="1"/>
          <w:sz w:val="22"/>
          <w:szCs w:val="22"/>
          <w:rtl w:val="0"/>
        </w:rPr>
        <w:t xml:space="preserve">Data Cards Playbook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, available at https://pair-code.github.io/datacardsplaybook/.</w:t>
        <w:br w:type="textWrapping"/>
        <w:t xml:space="preserve">Adaptations have been made to support the I-GUIDE platform, with a focus on simplifying structure, tailoring prompts for geospatial data, and aligning with ethical and FAIR data practices in scientific research.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This work is shared under a Creative Commons Attribution-ShareAlike 4.0 International License (CC BY-SA 4.0).</w:t>
        <w:br w:type="textWrapping"/>
        <w:t xml:space="preserve">License details: </w:t>
      </w:r>
      <w:hyperlink r:id="rId7">
        <w:r w:rsidDel="00000000" w:rsidR="00000000" w:rsidRPr="00000000">
          <w:rPr>
            <w:rFonts w:ascii="Aptos" w:cs="Aptos" w:eastAsia="Aptos" w:hAnsi="Aptos"/>
            <w:color w:val="0000ff"/>
            <w:sz w:val="22"/>
            <w:szCs w:val="22"/>
            <w:u w:val="single"/>
            <w:rtl w:val="0"/>
          </w:rPr>
          <w:t xml:space="preserve">https://creativecommons.org/licenses/by-sa/4.0/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800396" cy="1363923"/>
            <wp:effectExtent b="0" l="0" r="0" t="0"/>
            <wp:docPr descr="A logo with text on it&#10;&#10;AI-generated content may be incorrect." id="290094895" name="image1.png"/>
            <a:graphic>
              <a:graphicData uri="http://schemas.openxmlformats.org/drawingml/2006/picture">
                <pic:pic>
                  <pic:nvPicPr>
                    <pic:cNvPr descr="A logo with text on it&#10;&#10;AI-generated content may be incorrect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96" cy="1363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INFORMATION</w:t>
      </w:r>
    </w:p>
    <w:tbl>
      <w:tblPr>
        <w:tblStyle w:val="Table1"/>
        <w:tblW w:w="9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773"/>
        <w:tblGridChange w:id="0">
          <w:tblGrid>
            <w:gridCol w:w="2762"/>
            <w:gridCol w:w="67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Card ID 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DC_Embedding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Name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AlphaEarth Satellite Embedding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Version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V1 released on July 30,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Persistent Identifier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a73e8"/>
                  <w:highlight w:val="white"/>
                  <w:rtl w:val="0"/>
                </w:rPr>
                <w:t xml:space="preserve">doi:10.48550/arXiv.2507.22291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Outputs Supported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  <w:color w:val="1050b7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Brown, C. F., Kazmierski, M. R., Pasquarella, V J., Rucklidge, W. J., Samsikova, M., Zhang, C., Shelhamer, E., Lahera, E., Wiles, O., Ilyushchenko, S., Gorelick, N., Zhang, L. L., Alj, S., Schechter, E., Askay, S., Guinan, O., Moore, R., Boukouvalas, A., &amp; Kohli, P.(2025). AlphaEarth Foundations: An embedding field model for accurate and efficient global mapping from sparse label data. arXiv preprint arXiv.2507.22291.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050b7"/>
                  <w:highlight w:val="white"/>
                  <w:rtl w:val="0"/>
                </w:rPr>
                <w:t xml:space="preserve">doi:10.48550/arXiv.2507.22291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Data Card Author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Brown, C. F., Kazmierski, M. R., Pasquarella, V J., Rucklidge, W. J., Samsikova, M., Zhang, C., Shelhamer, E., Lahera, E., Wiles, O., Ilyushchenko, S., Gorelick, N., Zhang, L. L., Alj, S., Schechter, E., Askay, S., Guinan, O., Moore, R., Boukouvalas, A., &amp; Kohli, P.(2025)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</w:t>
      </w:r>
    </w:p>
    <w:tbl>
      <w:tblPr>
        <w:tblStyle w:val="Table2"/>
        <w:tblW w:w="9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773"/>
        <w:tblGridChange w:id="0">
          <w:tblGrid>
            <w:gridCol w:w="2762"/>
            <w:gridCol w:w="67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Dataset Owners and Publishers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Google Earth Engine; Google DeepMind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Source and Acquisition Method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Secondary dataset (from external source)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Terms of Use, or Data Sharing Agreement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This dataset is licensed under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highlight w:val="white"/>
                  <w:rtl w:val="0"/>
                </w:rPr>
                <w:t xml:space="preserve">CC-BY 4.0</w:t>
              </w:r>
            </w:hyperlink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and requires the following attribution text: "This dataset is produced by Google and Google DeepMind."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Storage Location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i w:val="1"/>
                <w:color w:val="1050b7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Repository: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050b7"/>
                  <w:rtl w:val="0"/>
                </w:rPr>
                <w:t xml:space="preserve">Earth Engine Data Catalog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Access Control Policies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CHARACTERISTICS</w:t>
      </w:r>
    </w:p>
    <w:tbl>
      <w:tblPr>
        <w:tblStyle w:val="Table3"/>
        <w:tblW w:w="9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773"/>
        <w:tblGridChange w:id="0">
          <w:tblGrid>
            <w:gridCol w:w="2762"/>
            <w:gridCol w:w="67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Data Subjects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Other: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analysis-ready collection of learned geospatial embeddings.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Dataset Size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(File size, number of records, variables, resolution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Spatial Data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03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If “Yes”:</w:t>
            </w:r>
          </w:p>
          <w:p w:rsidR="00000000" w:rsidDel="00000000" w:rsidP="00000000" w:rsidRDefault="00000000" w:rsidRPr="00000000" w14:paraId="00000037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Coordinate Reference System (CRS):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(If applicable)</w:t>
            </w:r>
          </w:p>
          <w:p w:rsidR="00000000" w:rsidDel="00000000" w:rsidP="00000000" w:rsidRDefault="00000000" w:rsidRPr="00000000" w14:paraId="00000038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Spatial Resolution: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10-meter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Temporal Resolution: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Annual (2017-2024)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Data Modality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Variables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The collection is composed of images covering approximately 163,840 meters by 163,840 meters, and each image has 64 bands </w:t>
            </w:r>
            <w:r w:rsidDel="00000000" w:rsidR="00000000" w:rsidRPr="00000000">
              <w:rPr>
                <w:rFonts w:ascii="Arial" w:cs="Arial" w:eastAsia="Arial" w:hAnsi="Arial"/>
                <w:shd w:fill="f1f3f4" w:val="clear"/>
                <w:rtl w:val="0"/>
              </w:rPr>
              <w:t xml:space="preserve">{A00, A01, …, A63}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one for each axis of the 64D embedding space.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tbl>
      <w:tblPr>
        <w:tblStyle w:val="Table4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Methods of Collection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More About Methods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All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Tools and Libraries Used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Google Earth Engine, geemap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Collection Policies (if data collected using web scraping or other digital methods)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 DATA</w:t>
      </w:r>
    </w:p>
    <w:tbl>
      <w:tblPr>
        <w:tblStyle w:val="Table5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Human Subject Identifiability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Other Sensitivity Factors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Measures Taken to Handle Sensitive Data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Demographic Variables Represented in Dataset 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Correlation with Demographic Variables 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Dataset Representativeness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Information About Ethical Oversight 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Not subject to Institutional Review Board (IRB) approval: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(Briefly explain why not)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Informed Consent Processes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</w:p>
    <w:tbl>
      <w:tblPr>
        <w:tblStyle w:val="Table6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Transformations Applied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i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Resampling to 500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Description of Transformations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Mean resampling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ptos" w:cs="Aptos" w:eastAsia="Aptos" w:hAnsi="Apto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AND UNSUITABLE USES OF DATASET</w:t>
      </w:r>
    </w:p>
    <w:tbl>
      <w:tblPr>
        <w:tblStyle w:val="Table7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Suitable Uses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Various clustering, object detection, and remote sensing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Unsuitable Uses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 TASKS (only complete if dataset includes labeled data)</w:t>
      </w:r>
    </w:p>
    <w:tbl>
      <w:tblPr>
        <w:tblStyle w:val="Table8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Types of Annotation Performed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Description of Annotations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AND BENCHMARKS (only complete if dataset used for AI purposes)</w:t>
      </w:r>
    </w:p>
    <w:tbl>
      <w:tblPr>
        <w:tblStyle w:val="Table9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Relevant AI Model(s)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Random Forest, XGBoost, TabNet,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ConvLSTM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Use in AI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Training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Key AI Tasks 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Fire risk mapping and fire progression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Evaluation Results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ptos" w:cs="Aptos" w:eastAsia="Aptos" w:hAnsi="Aptos"/>
          <w:b w:val="1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APPENDIX: VARIABLES (see “Variables” field in Section 2, “Dataset Characteristics”; add extra rows if necessary)</w:t>
      </w:r>
    </w:p>
    <w:tbl>
      <w:tblPr>
        <w:tblStyle w:val="Table10"/>
        <w:tblW w:w="935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3.4042553191489"/>
        <w:gridCol w:w="1719.31914893617"/>
        <w:gridCol w:w="1719.31914893617"/>
        <w:gridCol w:w="1719.31914893617"/>
        <w:gridCol w:w="1719.31914893617"/>
        <w:gridCol w:w="1719.31914893617"/>
        <w:tblGridChange w:id="0">
          <w:tblGrid>
            <w:gridCol w:w="763.4042553191489"/>
            <w:gridCol w:w="1719.31914893617"/>
            <w:gridCol w:w="1719.31914893617"/>
            <w:gridCol w:w="1719.31914893617"/>
            <w:gridCol w:w="1719.31914893617"/>
            <w:gridCol w:w="1719.31914893617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VARIABLE NAME</w:t>
            </w:r>
          </w:p>
        </w:tc>
        <w:tc>
          <w:tcPr>
            <w:tcBorders>
              <w:lef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BRIEF DESCRIPTION</w:t>
            </w:r>
          </w:p>
        </w:tc>
        <w:tc>
          <w:tcPr>
            <w:tcBorders>
              <w:lef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0th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1st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2nd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3rd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6th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7th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8th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9th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10th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11th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12th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13th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14th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15th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16th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17th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18th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19th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20th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21st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22nd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23rd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24th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25th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26th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27th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28th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29th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30th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31st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32nd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33rd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34th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35th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36th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37th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38th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39th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40th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41st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42nd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43rd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44th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45th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46th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47th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48th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49th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50th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51st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52nd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53rd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54th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55th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56th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57th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58th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59th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60th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61st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62nd axis of the embedding vector.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1"/>
                <w:szCs w:val="21"/>
                <w:shd w:fill="f1f3f4" w:val="clear"/>
                <w:rtl w:val="0"/>
              </w:rPr>
              <w:t xml:space="preserve">A63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Dimensionless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The 63rd axis of the embedding vector.</w:t>
            </w:r>
          </w:p>
        </w:tc>
      </w:tr>
    </w:tbl>
    <w:p w:rsidR="00000000" w:rsidDel="00000000" w:rsidP="00000000" w:rsidRDefault="00000000" w:rsidRPr="00000000" w14:paraId="000001FF">
      <w:pPr>
        <w:rPr>
          <w:rFonts w:ascii="Aptos" w:cs="Aptos" w:eastAsia="Aptos" w:hAnsi="Apto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I-GUIDE MODEL CARD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17993" cy="447105"/>
          <wp:effectExtent b="0" l="0" r="0" t="0"/>
          <wp:docPr descr="A logo with text on it&#10;&#10;AI-generated content may be incorrect." id="290094896" name="image1.png"/>
          <a:graphic>
            <a:graphicData uri="http://schemas.openxmlformats.org/drawingml/2006/picture">
              <pic:pic>
                <pic:nvPicPr>
                  <pic:cNvPr descr="A logo with text on it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7993" cy="4471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F43A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F43A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F43A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F43A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F43A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F43A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F43A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F43A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F43A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F43A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F43A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F43A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F43A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F43A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F43A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F43A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F43A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F43A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F43A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43A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F43A3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2F43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7639DB"/>
    <w:pPr>
      <w:widowControl w:val="0"/>
      <w:autoSpaceDE w:val="0"/>
      <w:autoSpaceDN w:val="0"/>
      <w:spacing w:after="0" w:line="240" w:lineRule="auto"/>
    </w:pPr>
    <w:rPr>
      <w:rFonts w:ascii="Tahoma" w:cs="Tahoma" w:eastAsia="Tahoma" w:hAnsi="Tahoma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4304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F0"/>
  </w:style>
  <w:style w:type="paragraph" w:styleId="Footer">
    <w:name w:val="footer"/>
    <w:basedOn w:val="Normal"/>
    <w:link w:val="FooterChar"/>
    <w:uiPriority w:val="99"/>
    <w:unhideWhenUsed w:val="1"/>
    <w:rsid w:val="004304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F0"/>
  </w:style>
  <w:style w:type="character" w:styleId="Strong">
    <w:name w:val="Strong"/>
    <w:basedOn w:val="DefaultParagraphFont"/>
    <w:uiPriority w:val="22"/>
    <w:qFormat w:val="1"/>
    <w:rsid w:val="00C20166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C20166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C20166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823D3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doi.org/10.48550/arXiv.2507.22291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elopers.google.com/earth-engine/datas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48550/arXiv.2507.22291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reativecommons.org/licenses/by-sa/4.0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X5ndRL4MNQtYbAuuOyLzW1ldYA==">CgMxLjA4AHIhMUVHbXdWR1Z0QnZRRUxSVHlRa2FKN3F6Qm0tWGY0LU5T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2025-03-23T23:06:00Z</dcterms:created>
  <dc:creator>Peter Darch</dc:creator>
</cp:coreProperties>
</file>