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I-GUIDE MODEL CARD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The I-GUIDE Model Card is an easy-to-use tool that will allow you to create documentation for each model that you create or use in a project.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Using this tool will help facilitate transparency and reproducibility about your project. It will also help you comply with relevant policies of journals, funding agencies, and universities. </w:t>
      </w:r>
    </w:p>
    <w:p w:rsidR="00000000" w:rsidDel="00000000" w:rsidP="00000000" w:rsidRDefault="00000000" w:rsidRPr="00000000" w14:paraId="00000004">
      <w:pPr>
        <w:spacing w:after="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The Model Card applies to: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Pre-existing models acquired from other sources, e.g., produced by other researchers;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Models you and your collaborators produced yourselves;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Models you and your collaborators produced by integrating two or more other models (e.g., coupling).</w:t>
        <w:tab/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b w:val="1"/>
          <w:sz w:val="22"/>
          <w:szCs w:val="22"/>
          <w:rtl w:val="0"/>
        </w:rPr>
        <w:t xml:space="preserve">Model Card Attribution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This Model Card template is an adapted version of the I-GUIDE Data Card template, which itself is based on Google’s </w:t>
      </w:r>
      <w:r w:rsidDel="00000000" w:rsidR="00000000" w:rsidRPr="00000000">
        <w:rPr>
          <w:rFonts w:ascii="Aptos" w:cs="Aptos" w:eastAsia="Aptos" w:hAnsi="Aptos"/>
          <w:i w:val="1"/>
          <w:sz w:val="22"/>
          <w:szCs w:val="22"/>
          <w:rtl w:val="0"/>
        </w:rPr>
        <w:t xml:space="preserve">Data Cards Playbook</w:t>
      </w: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(https://pair-code.github.io/datacardsplaybook/).</w:t>
        <w:br w:type="textWrapping"/>
        <w:t xml:space="preserve">It has been restructured to address key considerations for geospatial model transparency, performance evaluation, and ethical deployment, in alignment with the I-GUIDE research lifecycle.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This work is shared under a Creative Commons Attribution-ShareAlike 4.0 International License (CC BY-SA 4.0).</w:t>
        <w:br w:type="textWrapping"/>
        <w:t xml:space="preserve">License details: </w:t>
      </w:r>
      <w:hyperlink r:id="rId7">
        <w:r w:rsidDel="00000000" w:rsidR="00000000" w:rsidRPr="00000000">
          <w:rPr>
            <w:rFonts w:ascii="Aptos" w:cs="Aptos" w:eastAsia="Aptos" w:hAnsi="Aptos"/>
            <w:color w:val="0000ff"/>
            <w:sz w:val="22"/>
            <w:szCs w:val="22"/>
            <w:u w:val="single"/>
            <w:rtl w:val="0"/>
          </w:rPr>
          <w:t xml:space="preserve">https://creativecommons.org/licenses/by-sa/4.0/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800396" cy="1363923"/>
            <wp:effectExtent b="0" l="0" r="0" t="0"/>
            <wp:docPr descr="A logo with text on it&#10;&#10;AI-generated content may be incorrect." id="290094895" name="image1.png"/>
            <a:graphic>
              <a:graphicData uri="http://schemas.openxmlformats.org/drawingml/2006/picture">
                <pic:pic>
                  <pic:nvPicPr>
                    <pic:cNvPr descr="A logo with text on it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96" cy="136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INFORMATION</w:t>
      </w:r>
    </w:p>
    <w:tbl>
      <w:tblPr>
        <w:tblStyle w:val="Table1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773"/>
        <w:tblGridChange w:id="0">
          <w:tblGrid>
            <w:gridCol w:w="2762"/>
            <w:gridCol w:w="67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Card ID Number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Name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XGBoost with Basic Features, Burn Histories and Embeddings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Version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1.0 (August 08, 2025)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Persistent Identifier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i w:val="1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https://doi.org/10.1145/2939672.2939785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Outputs Supported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Xie et al., (2019)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; 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highlight w:val="white"/>
                  <w:rtl w:val="0"/>
                </w:rPr>
                <w:t xml:space="preserve">Eskandari</w:t>
              </w:r>
            </w:hyperlink>
            <w:hyperlink r:id="rId12">
              <w:r w:rsidDel="00000000" w:rsidR="00000000" w:rsidRPr="00000000">
                <w:rPr>
                  <w:color w:val="1155cc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et al., (2020)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; </w:t>
            </w:r>
            <w:hyperlink r:id="rId14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Hanberry B. (2020)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Card Author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Bikas Chandra Gupta, University of Texas at Arlington, </w:t>
            </w:r>
            <w:hyperlink r:id="rId15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bikaschandra.gupta@uta.edu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ptos" w:cs="Aptos" w:eastAsia="Aptos" w:hAnsi="Apto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OVERVIEW</w:t>
      </w:r>
    </w:p>
    <w:tbl>
      <w:tblPr>
        <w:tblStyle w:val="Table2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0"/>
        <w:gridCol w:w="6780"/>
        <w:gridCol w:w="105"/>
        <w:tblGridChange w:id="0">
          <w:tblGrid>
            <w:gridCol w:w="2760"/>
            <w:gridCol w:w="6780"/>
            <w:gridCol w:w="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Type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(Select all that apply)</w:t>
            </w:r>
          </w:p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sdt>
              <w:sdtPr>
                <w:id w:val="1448054687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 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AI model: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Machine Learning 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Gradient Boosting)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Statistical model: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 type)</w:t>
            </w:r>
          </w:p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Purposes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(Select all that apply)</w:t>
            </w:r>
          </w:p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1504088755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 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Classification</w:t>
            </w:r>
          </w:p>
          <w:p w:rsidR="00000000" w:rsidDel="00000000" w:rsidP="00000000" w:rsidRDefault="00000000" w:rsidRPr="00000000" w14:paraId="0000002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Decision support</w:t>
            </w:r>
          </w:p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965245702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Forecasting</w:t>
            </w:r>
          </w:p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205818441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Regression</w:t>
            </w:r>
          </w:p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Simulation</w:t>
            </w:r>
          </w:p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Spatial analysis</w:t>
            </w:r>
          </w:p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Domains of Application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(Select all that apply)</w:t>
            </w:r>
          </w:p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Climate science</w:t>
            </w:r>
          </w:p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Economics</w:t>
            </w:r>
          </w:p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1589400287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Environmental impact modeling </w:t>
            </w:r>
          </w:p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627745782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Geospatial analysis</w:t>
            </w:r>
          </w:p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1149787749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Hydrology</w:t>
            </w:r>
          </w:p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Population modeling</w:t>
            </w:r>
          </w:p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 social systems modeling: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Authors and Developers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Bikas Chandra Gupta, University of Texas at Arlington, </w:t>
            </w:r>
            <w:hyperlink r:id="rId16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bikaschandra.gupta@uta.edu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Source and Acquisition Method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Acquired (from external source)</w:t>
            </w:r>
          </w:p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1231550449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Developed internally</w:t>
            </w:r>
          </w:p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Integrated from multiple models (e.g., coupled)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User Licensing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sdt>
              <w:sdtPr>
                <w:id w:val="-362193534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Open source: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XGBoost under Apache 2.0 License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Proprietary: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 owner)</w:t>
            </w:r>
          </w:p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 restrictions on use: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 restrictions)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Storage Location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i w:val="1"/>
                <w:sz w:val="22"/>
                <w:szCs w:val="22"/>
              </w:rPr>
            </w:pPr>
            <w:sdt>
              <w:sdtPr>
                <w:id w:val="548596427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Repository: </w:t>
            </w:r>
            <w:hyperlink r:id="rId17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rtl w:val="0"/>
                </w:rPr>
                <w:t xml:space="preserve">https://github.com/ddominguez2293/I_Guide_Team_2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sdt>
              <w:sdtPr>
                <w:id w:val="-187789717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Project-specific storage: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Local project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Access Control Policies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2093870336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Open</w:t>
            </w:r>
          </w:p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Embargoed: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(Describe release timeline)</w:t>
            </w:r>
          </w:p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Restricted: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(Describe access criteria)</w:t>
            </w:r>
          </w:p>
        </w:tc>
      </w:tr>
      <w:tr>
        <w:trPr>
          <w:cantSplit w:val="0"/>
          <w:trHeight w:val="1142.871093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Use Case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The model is designed to predict next-day wildfire burn progression at MODIS scale (500m) and explore fire risk mapping (susceptibility) in the Pantanal wetlands.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INPUTS AND TRAINING DATA</w:t>
      </w:r>
    </w:p>
    <w:tbl>
      <w:tblPr>
        <w:tblStyle w:val="Table3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Inputs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MODIS Burn Area (MCD64A1)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Lagged burn history (1–5 days)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ERA-5 Climate variables (temperature, precipitation, humidity, wind)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DEM (slope, elevation, aspect)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Satellite embeddings (Google Earth Engine Satellite Embeddings)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Input Data Types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(Select all that apply)</w:t>
            </w:r>
          </w:p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563497738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Raster</w:t>
            </w:r>
          </w:p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754093121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Tabular</w:t>
            </w:r>
          </w:p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484168453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Time Series</w:t>
            </w:r>
          </w:p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Vector</w:t>
            </w:r>
          </w:p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Training Data Used</w:t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MODIS Burned Area (MCD64A1.061, </w:t>
            </w:r>
            <w:hyperlink r:id="rId18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https://doi.org/10.5067/MODIS/MCD64A1.061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ERA5 Climate reanalysis (</w:t>
            </w:r>
            <w:hyperlink r:id="rId19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https://doi.org/10.24381/cds.68d2bb30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SRTM DEM (</w:t>
            </w:r>
            <w:hyperlink r:id="rId20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https://doi.org/10.1029/2005RG000183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Satellite embeddings (</w:t>
            </w:r>
            <w:hyperlink r:id="rId21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https://doi.org/10.48550/arXiv.2507.22291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Burn History (derived)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Training Dataset Representativeness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Focused on the Pantanal wetlands; limited global generalizability.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Seasonal aggregation mitigates cloud gaps in Sentinel data.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Fire events concentrated in the dry season (June–Sept), so wet season fire representation is limited.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STRUCTURES</w:t>
      </w:r>
      <w:r w:rsidDel="00000000" w:rsidR="00000000" w:rsidRPr="00000000">
        <w:rPr>
          <w:rtl w:val="0"/>
        </w:rPr>
      </w:r>
    </w:p>
    <w:tbl>
      <w:tblPr>
        <w:tblStyle w:val="Table4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Feature Selection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Included climate variables, topography, land cover, burn lags, embeddings.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Excluded variables with high collinearity or missingness.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Hyperparameters and Tuning</w:t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Learning rate (0.05–0.1)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Max depth (6–10)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n_estimators (500–1000 with early stopping)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Subsample (0.8)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Colsample_bytree (0.8)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Tuned via Bayesian Technique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Software and Dependencies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Python &gt; 3.10; XGBoost 3.0.3; scikit-learn, pandas, numpy, geopandas, rasterio, xarray, rioxarray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PERFORMANCE AND EVALUATION</w:t>
      </w:r>
    </w:p>
    <w:tbl>
      <w:tblPr>
        <w:tblStyle w:val="Table5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Validation Approach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Cross-validation</w:t>
            </w:r>
          </w:p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1072102425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Holdout set</w:t>
            </w:r>
          </w:p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2111159297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Time series split</w:t>
            </w:r>
          </w:p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Evaluation Results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Accuracy: 0.965</w:t>
            </w:r>
          </w:p>
          <w:p w:rsidR="00000000" w:rsidDel="00000000" w:rsidP="00000000" w:rsidRDefault="00000000" w:rsidRPr="00000000" w14:paraId="00000086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Precision: 0.964</w:t>
            </w:r>
          </w:p>
          <w:p w:rsidR="00000000" w:rsidDel="00000000" w:rsidP="00000000" w:rsidRDefault="00000000" w:rsidRPr="00000000" w14:paraId="00000087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Recall   : 0.965</w:t>
            </w:r>
          </w:p>
          <w:p w:rsidR="00000000" w:rsidDel="00000000" w:rsidP="00000000" w:rsidRDefault="00000000" w:rsidRPr="00000000" w14:paraId="00000088">
            <w:pPr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F1 Score : 0.965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Testing or Validation Data Used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firstLine="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MODIS Burned Area (MCD64A1.061, </w:t>
            </w:r>
            <w:hyperlink r:id="rId22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https://doi.org/10.5067/MODIS/MCD64A1.061</w:t>
              </w:r>
            </w:hyperlink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(If model is integrated from multiple other models)</w:t>
            </w:r>
          </w:p>
          <w:p w:rsidR="00000000" w:rsidDel="00000000" w:rsidP="00000000" w:rsidRDefault="00000000" w:rsidRPr="00000000" w14:paraId="0000008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Contribution of Constituent Models 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(Describe the contribution of each constituent model to the integrated model’s performance)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ADAPTATION AND CUSTOMIZATION (for acquired or integrated models only)</w:t>
      </w:r>
      <w:r w:rsidDel="00000000" w:rsidR="00000000" w:rsidRPr="00000000">
        <w:rPr>
          <w:rtl w:val="0"/>
        </w:rPr>
      </w:r>
    </w:p>
    <w:tbl>
      <w:tblPr>
        <w:tblStyle w:val="Table6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Source Models 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Not applicable – model developed from scratch using XGBoost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Availability of Source Model Code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(Complete for each original model)</w:t>
            </w:r>
          </w:p>
          <w:p w:rsidR="00000000" w:rsidDel="00000000" w:rsidP="00000000" w:rsidRDefault="00000000" w:rsidRPr="00000000" w14:paraId="00000096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Openly available: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(Include link)</w:t>
            </w:r>
          </w:p>
          <w:p w:rsidR="00000000" w:rsidDel="00000000" w:rsidP="00000000" w:rsidRDefault="00000000" w:rsidRPr="00000000" w14:paraId="00000098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Restricted availability: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(Describe restrictions)</w:t>
            </w:r>
          </w:p>
          <w:p w:rsidR="00000000" w:rsidDel="00000000" w:rsidP="00000000" w:rsidRDefault="00000000" w:rsidRPr="00000000" w14:paraId="00000099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Unavailable: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(Explain reason for unavailability)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Modifications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Training Data Adjustments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DEPLOYMENT AND USAGE</w:t>
      </w:r>
    </w:p>
    <w:tbl>
      <w:tblPr>
        <w:tblStyle w:val="Table7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Computational Requirements</w:t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Runs on CPU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Typical training: ~1 hours on ~8-core CPU with 16 GB 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Geospatial Considerations</w:t>
            </w:r>
          </w:p>
        </w:tc>
        <w:tc>
          <w:tcPr/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Region-specific calibration (Pantanal)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Requires local climatology and land cover for transfer to other regions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ptos" w:cs="Aptos" w:eastAsia="Aptos" w:hAnsi="Aptos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TRANSPARENCY, EXPLAINABILITY, AND INTERPRETABILITY</w:t>
      </w:r>
      <w:r w:rsidDel="00000000" w:rsidR="00000000" w:rsidRPr="00000000">
        <w:rPr>
          <w:rtl w:val="0"/>
        </w:rPr>
      </w:r>
    </w:p>
    <w:tbl>
      <w:tblPr>
        <w:tblStyle w:val="Table8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Model Transparency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Fully transparent (rule-based, interpretable ML) </w:t>
            </w:r>
          </w:p>
          <w:p w:rsidR="00000000" w:rsidDel="00000000" w:rsidP="00000000" w:rsidRDefault="00000000" w:rsidRPr="00000000" w14:paraId="000000AA">
            <w:pPr>
              <w:rPr>
                <w:rFonts w:ascii="Aptos" w:cs="Aptos" w:eastAsia="Aptos" w:hAnsi="Aptos"/>
                <w:sz w:val="22"/>
                <w:szCs w:val="22"/>
              </w:rPr>
            </w:pPr>
            <w:sdt>
              <w:sdtPr>
                <w:id w:val="-2100741976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sz w:val="22"/>
                    <w:szCs w:val="22"/>
                    <w:highlight w:val="white"/>
                    <w:rtl w:val="0"/>
                  </w:rPr>
                  <w:t xml:space="preserve">☑</w:t>
                </w:r>
              </w:sdtContent>
            </w:sdt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Partially transparent (some explainability features)</w:t>
            </w:r>
          </w:p>
          <w:p w:rsidR="00000000" w:rsidDel="00000000" w:rsidP="00000000" w:rsidRDefault="00000000" w:rsidRPr="00000000" w14:paraId="000000A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Black box (deep learning, complex ML models)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Explainability Features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☑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Feature importance analysis</w:t>
            </w:r>
          </w:p>
          <w:p w:rsidR="00000000" w:rsidDel="00000000" w:rsidP="00000000" w:rsidRDefault="00000000" w:rsidRPr="00000000" w14:paraId="000000A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LIME</w:t>
            </w:r>
          </w:p>
          <w:p w:rsidR="00000000" w:rsidDel="00000000" w:rsidP="00000000" w:rsidRDefault="00000000" w:rsidRPr="00000000" w14:paraId="000000A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☑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Sensitivity analysis</w:t>
            </w:r>
          </w:p>
          <w:p w:rsidR="00000000" w:rsidDel="00000000" w:rsidP="00000000" w:rsidRDefault="00000000" w:rsidRPr="00000000" w14:paraId="000000B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☑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SHAP values</w:t>
            </w:r>
          </w:p>
          <w:p w:rsidR="00000000" w:rsidDel="00000000" w:rsidP="00000000" w:rsidRDefault="00000000" w:rsidRPr="00000000" w14:paraId="000000B1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Interpretability Challenges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Complex interactions in boosted trees may reduce intuitive interpretability.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Communication of Model Limitations </w:t>
            </w:r>
          </w:p>
        </w:tc>
        <w:tc>
          <w:tcPr/>
          <w:p w:rsidR="00000000" w:rsidDel="00000000" w:rsidP="00000000" w:rsidRDefault="00000000" w:rsidRPr="00000000" w14:paraId="000000B5">
            <w:pPr>
              <w:numPr>
                <w:ilvl w:val="0"/>
                <w:numId w:val="4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Model outputs include burn probability maps with associated uncertainty (via ensemble variance).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Limitations: only MODIS-scale (500m), does not capture fine-scale fire spread.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ETHICAL CONSIDERATIONS</w:t>
      </w:r>
      <w:r w:rsidDel="00000000" w:rsidR="00000000" w:rsidRPr="00000000">
        <w:rPr>
          <w:rtl w:val="0"/>
        </w:rPr>
      </w:r>
    </w:p>
    <w:tbl>
      <w:tblPr>
        <w:tblStyle w:val="Table9"/>
        <w:tblW w:w="9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2"/>
        <w:gridCol w:w="6863"/>
        <w:tblGridChange w:id="0">
          <w:tblGrid>
            <w:gridCol w:w="2762"/>
            <w:gridCol w:w="6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Ethical Risks (Other Than Transparency, Explainability and Interpretability)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(Select all that apply)</w:t>
            </w:r>
          </w:p>
          <w:p w:rsidR="00000000" w:rsidDel="00000000" w:rsidP="00000000" w:rsidRDefault="00000000" w:rsidRPr="00000000" w14:paraId="000000BB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☑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Bias in training data: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Pantanal-focused, may underperform elsewhere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☑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Intentional misuse risks: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misinterpreting as a real-time operational forecast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Privacy risks and surveillance: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  <w:p w:rsidR="00000000" w:rsidDel="00000000" w:rsidP="00000000" w:rsidRDefault="00000000" w:rsidRPr="00000000" w14:paraId="000000BE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Security risks: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  <w:p w:rsidR="00000000" w:rsidDel="00000000" w:rsidP="00000000" w:rsidRDefault="00000000" w:rsidRPr="00000000" w14:paraId="000000BF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Stigmatization of individuals or communities: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  <w:p w:rsidR="00000000" w:rsidDel="00000000" w:rsidP="00000000" w:rsidRDefault="00000000" w:rsidRPr="00000000" w14:paraId="000000C0">
            <w:pPr>
              <w:rPr>
                <w:rFonts w:ascii="Aptos" w:cs="Aptos" w:eastAsia="Aptos" w:hAnsi="Aptos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☐ Other: </w:t>
            </w:r>
            <w:r w:rsidDel="00000000" w:rsidR="00000000" w:rsidRPr="00000000">
              <w:rPr>
                <w:rFonts w:ascii="Aptos" w:cs="Aptos" w:eastAsia="Aptos" w:hAnsi="Aptos"/>
                <w:i w:val="1"/>
                <w:sz w:val="22"/>
                <w:szCs w:val="22"/>
                <w:rtl w:val="0"/>
              </w:rPr>
              <w:t xml:space="preserve">(Specify)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Measures Taken to Address Ethical Risks</w:t>
            </w:r>
          </w:p>
        </w:tc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Clear documentation of limitations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360" w:hanging="360"/>
              <w:rPr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Recommendation for use only in research, not operational fire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Suitable Uses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Research on fire dynamics and susceptibility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Supporting environmental analysis of Pantanal and similar ecosystems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Unsuitable Uses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Operational firefighting or real-time evacuation planning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Application outside Pantanal without retraining/validation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ptos" w:cs="Aptos" w:eastAsia="Aptos" w:hAnsi="Aptos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I-GUIDE MODEL CARD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7993" cy="447105"/>
          <wp:effectExtent b="0" l="0" r="0" t="0"/>
          <wp:docPr descr="A logo with text on it&#10;&#10;AI-generated content may be incorrect." id="290094896" name="image1.png"/>
          <a:graphic>
            <a:graphicData uri="http://schemas.openxmlformats.org/drawingml/2006/picture">
              <pic:pic>
                <pic:nvPicPr>
                  <pic:cNvPr descr="A logo with text on it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7993" cy="447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i w:val="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i w:val="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C70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C70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C70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701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C701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C701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C701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C701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C701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C701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C701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C701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C70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C70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C70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C701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C701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C701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C701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701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C701C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C70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613A6D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13A6D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13A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9C0"/>
  </w:style>
  <w:style w:type="paragraph" w:styleId="Footer">
    <w:name w:val="footer"/>
    <w:basedOn w:val="Normal"/>
    <w:link w:val="FooterChar"/>
    <w:uiPriority w:val="99"/>
    <w:unhideWhenUsed w:val="1"/>
    <w:rsid w:val="005C59C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9C0"/>
  </w:style>
  <w:style w:type="character" w:styleId="PageNumber">
    <w:name w:val="page number"/>
    <w:basedOn w:val="DefaultParagraphFont"/>
    <w:uiPriority w:val="99"/>
    <w:semiHidden w:val="1"/>
    <w:unhideWhenUsed w:val="1"/>
    <w:rsid w:val="005C59C0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29/2005RG000183" TargetMode="External"/><Relationship Id="rId22" Type="http://schemas.openxmlformats.org/officeDocument/2006/relationships/hyperlink" Target="https://doi.org/10.5067/MODIS/MCD64A1.061" TargetMode="External"/><Relationship Id="rId21" Type="http://schemas.openxmlformats.org/officeDocument/2006/relationships/hyperlink" Target="https://doi.org/10.48550/arXiv.2507.22291" TargetMode="External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45/2939672.2939785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reativecommons.org/licenses/by-sa/4.0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link.springer.com/10.1007/s11069-020-04169-4" TargetMode="External"/><Relationship Id="rId10" Type="http://schemas.openxmlformats.org/officeDocument/2006/relationships/hyperlink" Target="https://doi.org/10.1007/s00521-018-3515-0" TargetMode="External"/><Relationship Id="rId13" Type="http://schemas.openxmlformats.org/officeDocument/2006/relationships/hyperlink" Target="http://link.springer.com/10.1007/s11069-020-04169-4" TargetMode="External"/><Relationship Id="rId12" Type="http://schemas.openxmlformats.org/officeDocument/2006/relationships/hyperlink" Target="http://link.springer.com/10.1007/s11069-020-04169-4" TargetMode="External"/><Relationship Id="rId15" Type="http://schemas.openxmlformats.org/officeDocument/2006/relationships/hyperlink" Target="mailto:bikaschandra.gupta@uta.edu" TargetMode="External"/><Relationship Id="rId14" Type="http://schemas.openxmlformats.org/officeDocument/2006/relationships/hyperlink" Target="https://www.mdpi.com/2072-4292/12/18/2966" TargetMode="External"/><Relationship Id="rId17" Type="http://schemas.openxmlformats.org/officeDocument/2006/relationships/hyperlink" Target="https://github.com/ddominguez2293/I_Guide_Team_2" TargetMode="External"/><Relationship Id="rId16" Type="http://schemas.openxmlformats.org/officeDocument/2006/relationships/hyperlink" Target="mailto:bikaschandra.gupta@uta.edu" TargetMode="External"/><Relationship Id="rId19" Type="http://schemas.openxmlformats.org/officeDocument/2006/relationships/hyperlink" Target="https://doi.org/10.24381/cds.68d2bb30" TargetMode="External"/><Relationship Id="rId18" Type="http://schemas.openxmlformats.org/officeDocument/2006/relationships/hyperlink" Target="https://doi.org/10.5067/MODIS/MCD64A1.06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4srCd8NBLxx4msVF/j0K2RFDGQ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zgAciExMEZJcmpjNDlFaXpqSHZFcV9qXy1JdDdCamRpbml1W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2025-03-23T23:05:00Z</dcterms:created>
  <dc:creator>Peter Darch</dc:creator>
</cp:coreProperties>
</file>