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  <w:drawing>
          <wp:inline distT="0" distB="0" distL="0" distR="0">
            <wp:extent cx="1428750" cy="142875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hId0" Type="http://schemas.openxmlformats.org/officeDocument/2006/relationships/header" Target="header0.xml"/>
<Relationship Id="rId6" Type="http://schemas.openxmlformats.org/officeDocument/2006/relationships/image" Target="media/image_generated_1.jpeg"/></Relationships>
</file>