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{existingSystem}</w:t>
      </w:r>
      <w:r w:rsidR="0078740E" w:rsidRPr="0078740E">
        <w:rPr>
          <w:rFonts w:ascii="Corbel" w:hAnsi="Corbel"/>
          <w:sz w:val="26"/>
          <w:szCs w:val="26"/>
          <w:highlight w:val="yellow"/>
        </w:rPr>
        <w:t>{/existingSystem}</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5DB8796E"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r w:rsidR="00E56DA0">
        <w:rPr>
          <w:rFonts w:ascii="Corbel" w:hAnsi="Corbel"/>
          <w:b/>
          <w:bCs/>
          <w:color w:val="19AFA4"/>
          <w:sz w:val="26"/>
          <w:szCs w:val="26"/>
        </w:rPr>
        <w:t>plCount</w:t>
      </w:r>
      <w:r w:rsidR="003139D6" w:rsidRPr="00E70F51">
        <w:rPr>
          <w:rFonts w:ascii="Corbel" w:hAnsi="Corbel"/>
          <w:b/>
          <w:bCs/>
          <w:color w:val="19AFA4"/>
          <w:sz w:val="26"/>
          <w:szCs w:val="26"/>
        </w:rPr>
        <w:t>}</w:t>
      </w:r>
      <w:r w:rsidRPr="00E70F51">
        <w:rPr>
          <w:rFonts w:ascii="Corbel" w:hAnsi="Corbel"/>
          <w:sz w:val="26"/>
          <w:szCs w:val="26"/>
        </w:rPr>
        <w:t xml:space="preserve"> private label(s)</w:t>
      </w:r>
      <w:r w:rsidR="00DF5544" w:rsidRPr="00DF5544">
        <w:rPr>
          <w:rFonts w:ascii="Corbel" w:hAnsi="Corbel"/>
          <w:sz w:val="26"/>
          <w:szCs w:val="26"/>
          <w:highlight w:val="yellow"/>
        </w:rPr>
        <w:t xml:space="preserve"> </w:t>
      </w:r>
      <w:r w:rsidR="00DF5544">
        <w:rPr>
          <w:rFonts w:ascii="Corbel" w:hAnsi="Corbel"/>
          <w:sz w:val="26"/>
          <w:szCs w:val="26"/>
          <w:highlight w:val="yellow"/>
        </w:rPr>
        <w:t>{^NoDataMigration}</w:t>
      </w:r>
    </w:p>
    <w:p w14:paraId="64A464A7" w14:textId="3C805005"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r>
        <w:rPr>
          <w:rFonts w:ascii="Corbel" w:hAnsi="Corbel"/>
          <w:sz w:val="26"/>
          <w:szCs w:val="26"/>
        </w:rPr>
        <w:t>Tearsheets</w:t>
      </w:r>
    </w:p>
    <w:p w14:paraId="64A464B9" w14:textId="517D76D0"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sidR="00DF5544" w:rsidRPr="00DF5544">
        <w:rPr>
          <w:rFonts w:ascii="Corbel" w:hAnsi="Corbel"/>
          <w:sz w:val="26"/>
          <w:szCs w:val="26"/>
          <w:highlight w:val="yellow"/>
        </w:rPr>
        <w:t xml:space="preserve"> </w:t>
      </w:r>
      <w:r w:rsidR="00DF5544">
        <w:rPr>
          <w:rFonts w:ascii="Corbel" w:hAnsi="Corbel"/>
          <w:sz w:val="26"/>
          <w:szCs w:val="26"/>
          <w:highlight w:val="yellow"/>
        </w:rPr>
        <w:t>{/NoDataMigration}</w:t>
      </w:r>
    </w:p>
    <w:p w14:paraId="64A464BA" w14:textId="0B159021"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sidR="00DF5544">
        <w:rPr>
          <w:rFonts w:ascii="Corbel" w:hAnsi="Corbel"/>
          <w:sz w:val="26"/>
          <w:szCs w:val="26"/>
          <w:highlight w:val="yellow"/>
        </w:rPr>
        <w:t>{^NoDataMigration}</w:t>
      </w:r>
      <w:r>
        <w:rPr>
          <w:rFonts w:ascii="Corbel" w:hAnsi="Corbel"/>
          <w:sz w:val="26"/>
          <w:szCs w:val="26"/>
        </w:rPr>
        <w:t xml:space="preserve"> and data migration</w:t>
      </w:r>
      <w:r w:rsidR="00DF5544">
        <w:rPr>
          <w:rFonts w:ascii="Corbel" w:hAnsi="Corbel"/>
          <w:sz w:val="26"/>
          <w:szCs w:val="26"/>
          <w:highlight w:val="yellow"/>
        </w:rPr>
        <w:t>{/NoDataMigration}</w:t>
      </w:r>
      <w:r>
        <w:rPr>
          <w:rFonts w:ascii="Corbel" w:hAnsi="Corbel"/>
          <w:sz w:val="26"/>
          <w:szCs w:val="26"/>
        </w:rPr>
        <w:t>.</w:t>
      </w:r>
    </w:p>
    <w:p w14:paraId="64A464BB" w14:textId="7AEB7574" w:rsidR="00A216BA" w:rsidRDefault="00772BE2">
      <w:pPr>
        <w:pStyle w:val="ListParagraph"/>
        <w:numPr>
          <w:ilvl w:val="0"/>
          <w:numId w:val="4"/>
        </w:numPr>
        <w:rPr>
          <w:rFonts w:ascii="Corbel" w:hAnsi="Corbel"/>
          <w:sz w:val="26"/>
          <w:szCs w:val="26"/>
        </w:rPr>
      </w:pPr>
      <w:r>
        <w:rPr>
          <w:rFonts w:ascii="Corbel" w:hAnsi="Corbel"/>
          <w:sz w:val="26"/>
          <w:szCs w:val="26"/>
        </w:rPr>
        <w:t xml:space="preserve">Perform changes to </w:t>
      </w:r>
      <w:r w:rsidR="003B7B4F">
        <w:rPr>
          <w:rFonts w:ascii="Corbel" w:hAnsi="Corbel"/>
          <w:sz w:val="26"/>
          <w:szCs w:val="26"/>
          <w:highlight w:val="yellow"/>
        </w:rPr>
        <w:t>{^NoDataMigration}</w:t>
      </w:r>
      <w:r w:rsidR="003B7B4F">
        <w:rPr>
          <w:rFonts w:ascii="Corbel" w:hAnsi="Corbel"/>
          <w:sz w:val="26"/>
          <w:szCs w:val="26"/>
        </w:rPr>
        <w:t xml:space="preserve"> </w:t>
      </w:r>
      <w:r>
        <w:rPr>
          <w:rFonts w:ascii="Corbel" w:hAnsi="Corbel"/>
          <w:sz w:val="26"/>
          <w:szCs w:val="26"/>
        </w:rPr>
        <w:t xml:space="preserve">data and/or </w:t>
      </w:r>
      <w:r w:rsidR="003B7B4F">
        <w:rPr>
          <w:rFonts w:ascii="Corbel" w:hAnsi="Corbel"/>
          <w:sz w:val="26"/>
          <w:szCs w:val="26"/>
          <w:highlight w:val="yellow"/>
        </w:rPr>
        <w:t>{/NoDataMigration}</w:t>
      </w:r>
      <w:r>
        <w:rPr>
          <w:rFonts w:ascii="Corbel" w:hAnsi="Corbel"/>
          <w:sz w:val="26"/>
          <w:szCs w:val="26"/>
        </w:rPr>
        <w:t>configuration based on user acceptance testing.</w:t>
      </w:r>
      <w:r w:rsidR="00DF5544" w:rsidRPr="00DF5544">
        <w:rPr>
          <w:rFonts w:ascii="Corbel" w:hAnsi="Corbel"/>
          <w:sz w:val="26"/>
          <w:szCs w:val="26"/>
          <w:highlight w:val="yellow"/>
        </w:rPr>
        <w:t xml:space="preserve"> </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26C2856" w:rsidR="00A216BA" w:rsidRDefault="00772BE2">
      <w:pPr>
        <w:pStyle w:val="ListParagraph"/>
        <w:numPr>
          <w:ilvl w:val="1"/>
          <w:numId w:val="4"/>
        </w:numPr>
        <w:rPr>
          <w:rFonts w:ascii="Corbel" w:hAnsi="Corbel"/>
          <w:sz w:val="26"/>
          <w:szCs w:val="26"/>
        </w:rPr>
      </w:pPr>
      <w:r>
        <w:rPr>
          <w:rFonts w:ascii="Corbel" w:hAnsi="Corbel"/>
          <w:sz w:val="26"/>
          <w:szCs w:val="26"/>
        </w:rPr>
        <w:t xml:space="preserve">Testing and validation of </w:t>
      </w:r>
      <w:r w:rsidR="004B6A79">
        <w:rPr>
          <w:rFonts w:ascii="Corbel" w:hAnsi="Corbel"/>
          <w:sz w:val="26"/>
          <w:szCs w:val="26"/>
          <w:highlight w:val="yellow"/>
        </w:rPr>
        <w:t>{^NoDataMigration}</w:t>
      </w:r>
      <w:r>
        <w:rPr>
          <w:rFonts w:ascii="Corbel" w:hAnsi="Corbel"/>
          <w:sz w:val="26"/>
          <w:szCs w:val="26"/>
        </w:rPr>
        <w:t xml:space="preserve">final data migration and </w:t>
      </w:r>
      <w:r w:rsidR="004B6A79">
        <w:rPr>
          <w:rFonts w:ascii="Corbel" w:hAnsi="Corbel"/>
          <w:sz w:val="26"/>
          <w:szCs w:val="26"/>
          <w:highlight w:val="yellow"/>
        </w:rPr>
        <w:t>{/NoDataMigration}</w:t>
      </w:r>
      <w:r>
        <w:rPr>
          <w:rFonts w:ascii="Corbel" w:hAnsi="Corbel"/>
          <w:sz w:val="26"/>
          <w:szCs w:val="26"/>
        </w:rPr>
        <w:t>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newHireExport</w:t>
      </w:r>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InvoiceExport</w:t>
      </w:r>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lastRenderedPageBreak/>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r w:rsidR="00C24B17" w:rsidRPr="00C24B17">
        <w:rPr>
          <w:rFonts w:ascii="Corbel" w:hAnsi="Corbel"/>
          <w:sz w:val="26"/>
          <w:szCs w:val="26"/>
          <w:highlight w:val="yellow"/>
        </w:rPr>
        <w:t>emailsAsNotes</w:t>
      </w:r>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{/histSubmissions}</w:t>
      </w:r>
      <w:r w:rsidR="00C10CEA" w:rsidRPr="006C7559">
        <w:rPr>
          <w:rFonts w:ascii="Corbel" w:hAnsi="Corbel"/>
          <w:sz w:val="26"/>
          <w:szCs w:val="26"/>
          <w:highlight w:val="yellow"/>
        </w:rPr>
        <w:t>{</w:t>
      </w:r>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t xml:space="preserve">Creation and configuration of </w:t>
      </w:r>
      <w:r w:rsidR="00BF147F" w:rsidRPr="00ED0C67">
        <w:rPr>
          <w:rFonts w:ascii="Corbel" w:hAnsi="Corbel"/>
          <w:b/>
          <w:bCs/>
          <w:color w:val="19AFA4"/>
          <w:sz w:val="26"/>
          <w:szCs w:val="26"/>
        </w:rPr>
        <w:t>{</w:t>
      </w:r>
      <w:r w:rsidR="003F30B9">
        <w:rPr>
          <w:rFonts w:ascii="Corbel" w:hAnsi="Corbel"/>
          <w:b/>
          <w:bCs/>
          <w:color w:val="19AFA4"/>
          <w:sz w:val="26"/>
          <w:szCs w:val="26"/>
        </w:rPr>
        <w:t>npeCount</w:t>
      </w:r>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r w:rsidR="003F30B9">
        <w:rPr>
          <w:rFonts w:ascii="Corbel" w:hAnsi="Corbel"/>
          <w:b/>
          <w:bCs/>
          <w:color w:val="19AFA4"/>
          <w:sz w:val="26"/>
          <w:szCs w:val="26"/>
        </w:rPr>
        <w:t>oscpCount</w:t>
      </w:r>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r w:rsidR="00C24B17" w:rsidRPr="00C10CEA">
        <w:rPr>
          <w:rFonts w:ascii="Corbel" w:hAnsi="Corbel"/>
          <w:sz w:val="26"/>
          <w:szCs w:val="26"/>
          <w:highlight w:val="yellow"/>
        </w:rPr>
        <w:t>{/paidAdditions}</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{/timeline</w:t>
      </w:r>
      <w:r>
        <w:rPr>
          <w:rFonts w:ascii="Corbel" w:hAnsi="Corbel"/>
          <w:sz w:val="26"/>
          <w:szCs w:val="26"/>
          <w:highlight w:val="yellow"/>
        </w:rPr>
        <w:t>NoDM</w:t>
      </w:r>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{/timelineSMB}</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{/timelineField}</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r w:rsidR="003F5047">
        <w:rPr>
          <w:rFonts w:ascii="Corbel" w:hAnsi="Corbel"/>
          <w:b/>
          <w:bCs/>
          <w:color w:val="19AFA4"/>
          <w:sz w:val="26"/>
          <w:szCs w:val="26"/>
        </w:rPr>
        <w:t>userCount</w:t>
      </w:r>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r w:rsidR="00145E52">
        <w:rPr>
          <w:rFonts w:ascii="Corbel" w:hAnsi="Corbel"/>
          <w:b/>
          <w:bCs/>
          <w:color w:val="19AFA4"/>
          <w:sz w:val="26"/>
          <w:szCs w:val="26"/>
        </w:rPr>
        <w:t>timelineWeeks</w:t>
      </w:r>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63CC3B40" w14:textId="09C062C6"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r w:rsidR="00282A6B">
        <w:rPr>
          <w:rFonts w:ascii="Corbel" w:hAnsi="Corbel"/>
          <w:sz w:val="26"/>
          <w:szCs w:val="26"/>
          <w:highlight w:val="yellow"/>
        </w:rPr>
        <w:t>N</w:t>
      </w:r>
      <w:r w:rsidR="004D24D6">
        <w:rPr>
          <w:rFonts w:ascii="Corbel" w:hAnsi="Corbel"/>
          <w:sz w:val="26"/>
          <w:szCs w:val="26"/>
          <w:highlight w:val="yellow"/>
        </w:rPr>
        <w:t>oDataMigration}</w:t>
      </w:r>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r>
        <w:rPr>
          <w:rFonts w:ascii="Corbel" w:hAnsi="Corbel"/>
          <w:sz w:val="26"/>
          <w:szCs w:val="26"/>
        </w:rPr>
        <w:t xml:space="preserve">Datasource for the migration is </w:t>
      </w:r>
      <w:r w:rsidRPr="00ED0C67">
        <w:rPr>
          <w:rFonts w:ascii="Corbel" w:hAnsi="Corbel"/>
          <w:b/>
          <w:bCs/>
          <w:color w:val="19AFA4"/>
          <w:sz w:val="26"/>
          <w:szCs w:val="26"/>
        </w:rPr>
        <w:t>{</w:t>
      </w:r>
      <w:r>
        <w:rPr>
          <w:rFonts w:ascii="Corbel" w:hAnsi="Corbel"/>
          <w:b/>
          <w:bCs/>
          <w:color w:val="19AFA4"/>
          <w:sz w:val="26"/>
          <w:szCs w:val="26"/>
        </w:rPr>
        <w:t>existingSystem</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r w:rsidRPr="002F4AE1">
        <w:rPr>
          <w:rFonts w:ascii="Corbel" w:hAnsi="Corbel"/>
          <w:sz w:val="26"/>
          <w:szCs w:val="26"/>
          <w:highlight w:val="yellow"/>
        </w:rPr>
        <w:t>existingSystem</w:t>
      </w:r>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sidRPr="00ED0C67">
        <w:rPr>
          <w:rFonts w:ascii="Corbel" w:hAnsi="Corbel"/>
          <w:b/>
          <w:bCs/>
          <w:color w:val="19AFA4"/>
          <w:sz w:val="26"/>
          <w:szCs w:val="26"/>
        </w:rPr>
        <w:t>{</w:t>
      </w:r>
      <w:r w:rsidRPr="000F6A58">
        <w:rPr>
          <w:rFonts w:ascii="Corbel" w:hAnsi="Corbel"/>
          <w:b/>
          <w:bCs/>
          <w:color w:val="19AFA4"/>
          <w:sz w:val="26"/>
          <w:szCs w:val="26"/>
        </w:rPr>
        <w:t>addtlDatasources</w:t>
      </w:r>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/addtlDatasources</w:t>
      </w:r>
      <w:r w:rsidRPr="006C7559">
        <w:rPr>
          <w:rFonts w:ascii="Corbel" w:hAnsi="Corbel"/>
          <w:sz w:val="26"/>
          <w:szCs w:val="26"/>
          <w:highlight w:val="yellow"/>
        </w:rPr>
        <w:t>}</w:t>
      </w:r>
    </w:p>
    <w:p w14:paraId="64A464FF" w14:textId="74DB86F0"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r w:rsidR="00282A6B">
        <w:rPr>
          <w:rFonts w:ascii="Corbel" w:hAnsi="Corbel"/>
          <w:sz w:val="26"/>
          <w:szCs w:val="26"/>
          <w:highlight w:val="yellow"/>
        </w:rPr>
        <w:t>N</w:t>
      </w:r>
      <w:r>
        <w:rPr>
          <w:rFonts w:ascii="Corbel" w:hAnsi="Corbel"/>
          <w:sz w:val="26"/>
          <w:szCs w:val="26"/>
          <w:highlight w:val="yellow"/>
        </w:rPr>
        <w:t>oDataMigration}</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r w:rsidR="00F25A75">
        <w:rPr>
          <w:rFonts w:ascii="Corbel" w:hAnsi="Corbel"/>
          <w:b/>
          <w:bCs/>
          <w:color w:val="19AFA4"/>
          <w:sz w:val="26"/>
          <w:szCs w:val="26"/>
        </w:rPr>
        <w:t>total</w:t>
      </w:r>
      <w:r w:rsidR="007A1210">
        <w:rPr>
          <w:rFonts w:ascii="Corbel" w:hAnsi="Corbel"/>
          <w:b/>
          <w:bCs/>
          <w:color w:val="19AFA4"/>
          <w:sz w:val="26"/>
          <w:szCs w:val="26"/>
        </w:rPr>
        <w:t>Amt</w:t>
      </w:r>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wo}{#payments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 xml:space="preserve">OPEN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rPr>
                <w:rFonts w:ascii="Corbel" w:eastAsia="Corbel" w:hAnsi="Corbel" w:cs="Corbel"/>
                <w:b/>
                <w:bCs/>
                <w:color w:val="000000" w:themeColor="text1"/>
                <w:sz w:val="26"/>
                <w:szCs w:val="26"/>
              </w:rPr>
              <w:br/>
            </w:r>
            <w:r>
              <w:rPr>
                <w:rFonts w:ascii="Corbel" w:hAnsi="Corbel"/>
                <w:b/>
                <w:bCs/>
                <w:color w:val="19AFA4"/>
                <w:sz w:val="26"/>
                <w:szCs w:val="26"/>
              </w:rPr>
              <w:t>{ocspAmt</w:t>
            </w:r>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{onSiteTrainingAmt</w:t>
            </w:r>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{afterCare</w:t>
            </w:r>
            <w:r w:rsidR="007A1210">
              <w:rPr>
                <w:rFonts w:ascii="Corbel" w:hAnsi="Corbel"/>
                <w:b/>
                <w:bCs/>
                <w:color w:val="19AFA4"/>
                <w:sz w:val="26"/>
                <w:szCs w:val="26"/>
              </w:rPr>
              <w:t>Amt</w:t>
            </w:r>
            <w:r w:rsidR="006B4E53" w:rsidRPr="005D144E">
              <w:rPr>
                <w:rFonts w:ascii="Corbel" w:hAnsi="Corbel"/>
                <w:b/>
                <w:bCs/>
                <w:color w:val="19AFA4"/>
                <w:sz w:val="26"/>
                <w:szCs w:val="26"/>
              </w:rPr>
              <w:t>}</w:t>
            </w:r>
          </w:p>
        </w:tc>
      </w:tr>
    </w:tbl>
    <w:p w14:paraId="64A4650F" w14:textId="44ED5845"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w:t>
      </w:r>
      <w:r w:rsidR="00560177">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sidR="00560177">
        <w:rPr>
          <w:rFonts w:ascii="Corbel" w:hAnsi="Corbel"/>
          <w:sz w:val="26"/>
          <w:szCs w:val="26"/>
          <w:highlight w:val="yellow"/>
        </w:rPr>
        <w:t>{/NoDataMigration}</w:t>
      </w:r>
      <w:r>
        <w:rPr>
          <w:rFonts w:ascii="Corbel" w:eastAsia="Corbel" w:hAnsi="Corbel" w:cs="Corbel"/>
          <w:color w:val="000000" w:themeColor="text1"/>
          <w:sz w:val="26"/>
          <w:szCs w:val="26"/>
        </w:rPr>
        <w:t>.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3D86CF0B" w14:textId="75A3E451" w:rsidR="008E6A2E" w:rsidRDefault="008E6A2E">
      <w:pPr>
        <w:pStyle w:val="ListParagraph"/>
        <w:numPr>
          <w:ilvl w:val="0"/>
          <w:numId w:val="4"/>
        </w:numPr>
        <w:rPr>
          <w:rFonts w:ascii="Corbel" w:hAnsi="Corbel"/>
          <w:sz w:val="26"/>
          <w:szCs w:val="26"/>
        </w:rPr>
      </w:pPr>
      <w:r>
        <w:rPr>
          <w:rFonts w:ascii="Corbel" w:hAnsi="Corbel"/>
          <w:sz w:val="26"/>
          <w:szCs w:val="26"/>
        </w:rPr>
        <w:t>Herefish Implementation</w:t>
      </w:r>
    </w:p>
    <w:p w14:paraId="2B7AFB3A" w14:textId="415A91F3" w:rsidR="00223E6C" w:rsidRDefault="00223E6C" w:rsidP="00223E6C">
      <w:pPr>
        <w:pStyle w:val="ListParagraph"/>
        <w:numPr>
          <w:ilvl w:val="1"/>
          <w:numId w:val="4"/>
        </w:numPr>
        <w:rPr>
          <w:rFonts w:ascii="Corbel" w:hAnsi="Corbel"/>
          <w:sz w:val="26"/>
          <w:szCs w:val="26"/>
        </w:rPr>
      </w:pPr>
      <w:r>
        <w:rPr>
          <w:rFonts w:ascii="Corbel" w:hAnsi="Corbel"/>
          <w:sz w:val="26"/>
          <w:szCs w:val="26"/>
        </w:rPr>
        <w:t>Clients can choose the Herefish Implementation package based on their needs during or after implementation</w:t>
      </w:r>
    </w:p>
    <w:p w14:paraId="64A46514" w14:textId="421F1574"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r>
        <w:rPr>
          <w:rFonts w:ascii="Corbel" w:hAnsi="Corbel"/>
          <w:sz w:val="26"/>
          <w:szCs w:val="26"/>
        </w:rPr>
        <w:t>Datamirror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lastRenderedPageBreak/>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sidR="005215F4" w:rsidRPr="00BA419B">
        <w:rPr>
          <w:rFonts w:ascii="Corbel" w:hAnsi="Corbel"/>
          <w:sz w:val="26"/>
          <w:szCs w:val="26"/>
          <w:highlight w:val="yellow"/>
        </w:rPr>
        <w:t>{^qbIntegration}</w:t>
      </w:r>
    </w:p>
    <w:p w14:paraId="43C22FA5" w14:textId="6EFA4841" w:rsidR="005215F4" w:rsidRDefault="005215F4" w:rsidP="005215F4">
      <w:pPr>
        <w:pStyle w:val="ListParagraph"/>
        <w:numPr>
          <w:ilvl w:val="0"/>
          <w:numId w:val="4"/>
        </w:numPr>
        <w:rPr>
          <w:rFonts w:ascii="Corbel" w:hAnsi="Corbel"/>
          <w:sz w:val="26"/>
          <w:szCs w:val="26"/>
        </w:rPr>
      </w:pPr>
      <w:r>
        <w:rPr>
          <w:rFonts w:ascii="Corbel" w:hAnsi="Corbel"/>
          <w:sz w:val="26"/>
          <w:szCs w:val="26"/>
        </w:rPr>
        <w:t>Quickbooks integration</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qbIntegration</w:t>
      </w:r>
      <w:r w:rsidRPr="006C7559">
        <w:rPr>
          <w:rFonts w:ascii="Corbel" w:hAnsi="Corbel"/>
          <w:sz w:val="26"/>
          <w:szCs w:val="26"/>
          <w:highlight w:val="yellow"/>
        </w:rPr>
        <w:t>}{</w:t>
      </w:r>
      <w:r>
        <w:rPr>
          <w:rFonts w:ascii="Corbel" w:hAnsi="Corbel"/>
          <w:sz w:val="26"/>
          <w:szCs w:val="26"/>
          <w:highlight w:val="yellow"/>
        </w:rPr>
        <w:t>^</w:t>
      </w:r>
      <w:r w:rsidR="009E285A" w:rsidRPr="00C24B17">
        <w:rPr>
          <w:rFonts w:ascii="Corbel" w:hAnsi="Corbel"/>
          <w:sz w:val="26"/>
          <w:szCs w:val="26"/>
          <w:highlight w:val="yellow"/>
        </w:rPr>
        <w:t>emailsAsNotes</w:t>
      </w:r>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r>
        <w:rPr>
          <w:rFonts w:ascii="Corbel" w:hAnsi="Corbel"/>
          <w:sz w:val="26"/>
          <w:szCs w:val="26"/>
          <w:highlight w:val="yellow"/>
        </w:rPr>
        <w:t>^</w:t>
      </w:r>
      <w:r w:rsidRPr="00C24B17">
        <w:rPr>
          <w:rFonts w:ascii="Corbel" w:hAnsi="Corbel"/>
          <w:sz w:val="26"/>
          <w:szCs w:val="26"/>
          <w:highlight w:val="yellow"/>
        </w:rPr>
        <w:t>histSubmissions</w:t>
      </w:r>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{/histSubmissions}</w:t>
      </w:r>
      <w:r w:rsidR="00C10CEA" w:rsidRPr="006C7559">
        <w:rPr>
          <w:rFonts w:ascii="Corbel" w:hAnsi="Corbel"/>
          <w:sz w:val="26"/>
          <w:szCs w:val="26"/>
          <w:highlight w:val="yellow"/>
        </w:rPr>
        <w:t>{</w:t>
      </w:r>
      <w:r w:rsidR="00C10CE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r w:rsidRPr="00C10CEA">
        <w:rPr>
          <w:rFonts w:ascii="Corbel" w:hAnsi="Corbel"/>
          <w:sz w:val="26"/>
          <w:szCs w:val="26"/>
          <w:highlight w:val="yellow"/>
        </w:rPr>
        <w:t>npeCount</w:t>
      </w:r>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r w:rsidR="00C10CEA" w:rsidRPr="00C10CEA">
        <w:rPr>
          <w:rFonts w:ascii="Corbel" w:hAnsi="Corbel"/>
          <w:sz w:val="26"/>
          <w:szCs w:val="26"/>
          <w:highlight w:val="yellow"/>
        </w:rPr>
        <w:t>oscpCount</w:t>
      </w:r>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r w:rsidRPr="004F373C">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116E1C9B"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7" w14:textId="67D669E4" w:rsidR="00A216BA" w:rsidRDefault="00A216BA" w:rsidP="00254EB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244AE5">
        <w:trPr>
          <w:cantSplit/>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44AE5">
        <w:trPr>
          <w:cantSplit/>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thqSignature</w:t>
            </w:r>
          </w:p>
        </w:tc>
      </w:tr>
      <w:tr w:rsidR="00254EB7" w:rsidRPr="00D54E29" w14:paraId="64A4653B" w14:textId="5A7F88A3" w:rsidTr="00244AE5">
        <w:trPr>
          <w:cantSplit/>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thqName</w:t>
            </w:r>
          </w:p>
        </w:tc>
      </w:tr>
      <w:tr w:rsidR="00254EB7" w:rsidRPr="00D54E29" w14:paraId="64A4653D" w14:textId="2CE446D0" w:rsidTr="00244AE5">
        <w:trPr>
          <w:cantSplit/>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thqTitle</w:t>
            </w:r>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37774" w14:textId="77777777" w:rsidR="00914F88" w:rsidRDefault="00914F88">
      <w:pPr>
        <w:spacing w:after="0" w:line="240" w:lineRule="auto"/>
      </w:pPr>
      <w:r>
        <w:separator/>
      </w:r>
    </w:p>
  </w:endnote>
  <w:endnote w:type="continuationSeparator" w:id="0">
    <w:p w14:paraId="5ECCE0F9" w14:textId="77777777" w:rsidR="00914F88" w:rsidRDefault="00914F88">
      <w:pPr>
        <w:spacing w:after="0" w:line="240" w:lineRule="auto"/>
      </w:pPr>
      <w:r>
        <w:continuationSeparator/>
      </w:r>
    </w:p>
  </w:endnote>
  <w:endnote w:type="continuationNotice" w:id="1">
    <w:p w14:paraId="406464CA" w14:textId="77777777" w:rsidR="00914F88" w:rsidRDefault="00914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B989A" w14:textId="77777777" w:rsidR="00914F88" w:rsidRDefault="00914F88">
      <w:pPr>
        <w:spacing w:after="0" w:line="240" w:lineRule="auto"/>
      </w:pPr>
      <w:r>
        <w:separator/>
      </w:r>
    </w:p>
  </w:footnote>
  <w:footnote w:type="continuationSeparator" w:id="0">
    <w:p w14:paraId="7990745E" w14:textId="77777777" w:rsidR="00914F88" w:rsidRDefault="00914F88">
      <w:pPr>
        <w:spacing w:after="0" w:line="240" w:lineRule="auto"/>
      </w:pPr>
      <w:r>
        <w:continuationSeparator/>
      </w:r>
    </w:p>
  </w:footnote>
  <w:footnote w:type="continuationNotice" w:id="1">
    <w:p w14:paraId="1CD4456A" w14:textId="77777777" w:rsidR="00914F88" w:rsidRDefault="00914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23E6C"/>
    <w:rsid w:val="00244AE5"/>
    <w:rsid w:val="00254EB7"/>
    <w:rsid w:val="00264F36"/>
    <w:rsid w:val="00282A6B"/>
    <w:rsid w:val="002A46F4"/>
    <w:rsid w:val="002C1955"/>
    <w:rsid w:val="002D2DFB"/>
    <w:rsid w:val="002F1034"/>
    <w:rsid w:val="002F4AE1"/>
    <w:rsid w:val="00311107"/>
    <w:rsid w:val="003139D6"/>
    <w:rsid w:val="00314D9F"/>
    <w:rsid w:val="00330156"/>
    <w:rsid w:val="00354F1C"/>
    <w:rsid w:val="003620BD"/>
    <w:rsid w:val="003913E1"/>
    <w:rsid w:val="003A6459"/>
    <w:rsid w:val="003A75C1"/>
    <w:rsid w:val="003B7B4F"/>
    <w:rsid w:val="003C184F"/>
    <w:rsid w:val="003D54FA"/>
    <w:rsid w:val="003D5DF7"/>
    <w:rsid w:val="003E20AC"/>
    <w:rsid w:val="003F12C7"/>
    <w:rsid w:val="003F30B9"/>
    <w:rsid w:val="003F4226"/>
    <w:rsid w:val="003F5047"/>
    <w:rsid w:val="003F6311"/>
    <w:rsid w:val="004879E7"/>
    <w:rsid w:val="004B6A79"/>
    <w:rsid w:val="004C0744"/>
    <w:rsid w:val="004D24D6"/>
    <w:rsid w:val="004F373C"/>
    <w:rsid w:val="00506C7C"/>
    <w:rsid w:val="00515EEA"/>
    <w:rsid w:val="005215F4"/>
    <w:rsid w:val="00560177"/>
    <w:rsid w:val="00570104"/>
    <w:rsid w:val="00577130"/>
    <w:rsid w:val="00596F4E"/>
    <w:rsid w:val="005C766E"/>
    <w:rsid w:val="005D144E"/>
    <w:rsid w:val="005F12BD"/>
    <w:rsid w:val="005F3BBB"/>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A2E"/>
    <w:rsid w:val="008E6D61"/>
    <w:rsid w:val="008F18C3"/>
    <w:rsid w:val="008F319F"/>
    <w:rsid w:val="00914F88"/>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02A05"/>
    <w:rsid w:val="00D16B2C"/>
    <w:rsid w:val="00D2761A"/>
    <w:rsid w:val="00D377E6"/>
    <w:rsid w:val="00D54E29"/>
    <w:rsid w:val="00D65910"/>
    <w:rsid w:val="00D700F5"/>
    <w:rsid w:val="00D86EDB"/>
    <w:rsid w:val="00DA19A2"/>
    <w:rsid w:val="00DB72EC"/>
    <w:rsid w:val="00DD7DE5"/>
    <w:rsid w:val="00DF5544"/>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9</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192</cp:revision>
  <cp:lastPrinted>2019-08-02T06:39:00Z</cp:lastPrinted>
  <dcterms:created xsi:type="dcterms:W3CDTF">2020-12-09T17:30:00Z</dcterms:created>
  <dcterms:modified xsi:type="dcterms:W3CDTF">2021-02-24T02:25:00Z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