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w:t>
      </w:r>
      <w:proofErr w:type="spellStart"/>
      <w:r w:rsidR="0078740E" w:rsidRPr="0078740E">
        <w:rPr>
          <w:rFonts w:ascii="Corbel" w:hAnsi="Corbel"/>
          <w:b/>
          <w:bCs/>
          <w:color w:val="19AFA4"/>
          <w:sz w:val="26"/>
          <w:szCs w:val="26"/>
        </w:rPr>
        <w:t>existingSystem</w:t>
      </w:r>
      <w:proofErr w:type="spellEnd"/>
      <w:r w:rsidR="0078740E" w:rsidRPr="0078740E">
        <w:rPr>
          <w:rFonts w:ascii="Corbel" w:hAnsi="Corbel"/>
          <w:b/>
          <w:bCs/>
          <w:color w:val="19AFA4"/>
          <w:sz w:val="26"/>
          <w:szCs w:val="26"/>
        </w:rPr>
        <w:t>}</w:t>
      </w:r>
      <w:r w:rsidR="0078740E" w:rsidRPr="0078740E">
        <w:rPr>
          <w:rFonts w:ascii="Corbel" w:hAnsi="Corbel"/>
          <w:sz w:val="26"/>
          <w:szCs w:val="26"/>
          <w:highlight w:val="yellow"/>
        </w:rPr>
        <w:t>{/</w:t>
      </w:r>
      <w:proofErr w:type="spellStart"/>
      <w:r w:rsidR="0078740E" w:rsidRPr="0078740E">
        <w:rPr>
          <w:rFonts w:ascii="Corbel" w:hAnsi="Corbel"/>
          <w:sz w:val="26"/>
          <w:szCs w:val="26"/>
          <w:highlight w:val="yellow"/>
        </w:rPr>
        <w:t>existingSystem</w:t>
      </w:r>
      <w:proofErr w:type="spellEnd"/>
      <w:r w:rsidR="0078740E" w:rsidRPr="0078740E">
        <w:rPr>
          <w:rFonts w:ascii="Corbel" w:hAnsi="Corbel"/>
          <w:sz w:val="26"/>
          <w:szCs w:val="26"/>
          <w:highlight w:val="yellow"/>
        </w:rPr>
        <w:t>}</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 xml:space="preserve">Configuration of the following Bullhorn </w:t>
      </w:r>
      <w:proofErr w:type="gramStart"/>
      <w:r w:rsidRPr="00695685">
        <w:rPr>
          <w:rFonts w:ascii="Corbel" w:hAnsi="Corbel"/>
          <w:sz w:val="26"/>
          <w:szCs w:val="26"/>
        </w:rPr>
        <w:t>products:</w:t>
      </w:r>
      <w:r w:rsidR="002D2DFB" w:rsidRPr="00695685">
        <w:rPr>
          <w:rFonts w:ascii="Corbel" w:hAnsi="Corbel"/>
          <w:sz w:val="26"/>
          <w:szCs w:val="26"/>
          <w:highlight w:val="yellow"/>
        </w:rPr>
        <w:t>{</w:t>
      </w:r>
      <w:proofErr w:type="gramEnd"/>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proofErr w:type="gramStart"/>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newHireExport</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34BE2031" w:rsidR="00C24B17" w:rsidRDefault="004879E7" w:rsidP="00C24B17">
      <w:pPr>
        <w:pStyle w:val="ListParagraph"/>
        <w:numPr>
          <w:ilvl w:val="1"/>
          <w:numId w:val="4"/>
        </w:numPr>
        <w:rPr>
          <w:rFonts w:ascii="Corbel" w:hAnsi="Corbel"/>
          <w:sz w:val="26"/>
          <w:szCs w:val="26"/>
        </w:rPr>
      </w:pPr>
      <w:r>
        <w:rPr>
          <w:rFonts w:ascii="Corbel" w:hAnsi="Corbel"/>
          <w:sz w:val="26"/>
          <w:szCs w:val="26"/>
        </w:rPr>
        <w:t>Quick</w:t>
      </w:r>
      <w:r w:rsidR="00091B9A">
        <w:rPr>
          <w:rFonts w:ascii="Corbel" w:hAnsi="Corbel"/>
          <w:sz w:val="26"/>
          <w:szCs w:val="26"/>
        </w:rPr>
        <w:t>B</w:t>
      </w:r>
      <w:r>
        <w:rPr>
          <w:rFonts w:ascii="Corbel" w:hAnsi="Corbel"/>
          <w:sz w:val="26"/>
          <w:szCs w:val="26"/>
        </w:rPr>
        <w:t xml:space="preserve">ooks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qbIntegration</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InvoiceExport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proofErr w:type="spellStart"/>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proofErr w:type="spellEnd"/>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PayDataExport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emailsAsNotes</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histSubmissions</w:t>
      </w:r>
      <w:proofErr w:type="spellEnd"/>
      <w:r w:rsidR="00C24B17"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64F6D7EC" w:rsidR="00C10CEA" w:rsidRDefault="00C10CEA" w:rsidP="00A31D3F">
      <w:pPr>
        <w:pStyle w:val="ListParagraph"/>
        <w:numPr>
          <w:ilvl w:val="1"/>
          <w:numId w:val="4"/>
        </w:numPr>
        <w:rPr>
          <w:rFonts w:ascii="Corbel" w:hAnsi="Corbel"/>
          <w:sz w:val="26"/>
          <w:szCs w:val="26"/>
        </w:rPr>
      </w:pPr>
      <w:r>
        <w:rPr>
          <w:rFonts w:ascii="Corbel" w:hAnsi="Corbel"/>
          <w:sz w:val="26"/>
          <w:szCs w:val="26"/>
        </w:rPr>
        <w:lastRenderedPageBreak/>
        <w:t xml:space="preserve">Creation and configuration of </w:t>
      </w:r>
      <w:r w:rsidR="00BF147F" w:rsidRPr="00ED0C67">
        <w:rPr>
          <w:rFonts w:ascii="Corbel" w:hAnsi="Corbel"/>
          <w:b/>
          <w:bCs/>
          <w:color w:val="19AFA4"/>
          <w:sz w:val="26"/>
          <w:szCs w:val="26"/>
        </w:rPr>
        <w:t>{</w:t>
      </w:r>
      <w:proofErr w:type="spellStart"/>
      <w:r w:rsidR="003F30B9">
        <w:rPr>
          <w:rFonts w:ascii="Corbel" w:hAnsi="Corbel"/>
          <w:b/>
          <w:bCs/>
          <w:color w:val="19AFA4"/>
          <w:sz w:val="26"/>
          <w:szCs w:val="26"/>
        </w:rPr>
        <w:t>npeCount</w:t>
      </w:r>
      <w:proofErr w:type="spellEnd"/>
      <w:r w:rsidR="00BF147F" w:rsidRPr="00ED0C67">
        <w:rPr>
          <w:rFonts w:ascii="Corbel" w:hAnsi="Corbel"/>
          <w:b/>
          <w:bCs/>
          <w:color w:val="19AFA4"/>
          <w:sz w:val="26"/>
          <w:szCs w:val="26"/>
        </w:rPr>
        <w:t>}</w:t>
      </w:r>
      <w:r w:rsidR="00BF147F">
        <w:rPr>
          <w:rFonts w:ascii="Corbel" w:hAnsi="Corbel"/>
          <w:b/>
          <w:bCs/>
          <w:color w:val="19AFA4"/>
          <w:sz w:val="26"/>
          <w:szCs w:val="26"/>
        </w:rPr>
        <w:t xml:space="preserve"> </w:t>
      </w:r>
      <w:r>
        <w:rPr>
          <w:rFonts w:ascii="Corbel" w:hAnsi="Corbel"/>
          <w:sz w:val="26"/>
          <w:szCs w:val="26"/>
        </w:rPr>
        <w:t>non-production environment</w:t>
      </w:r>
      <w:r w:rsidR="00087787">
        <w:rPr>
          <w:rFonts w:ascii="Corbel" w:hAnsi="Corbel"/>
          <w:sz w:val="26"/>
          <w:szCs w:val="26"/>
        </w:rPr>
        <w:t>(</w:t>
      </w:r>
      <w:r>
        <w:rPr>
          <w:rFonts w:ascii="Corbel" w:hAnsi="Corbel"/>
          <w:sz w:val="26"/>
          <w:szCs w:val="26"/>
        </w:rPr>
        <w:t>s</w:t>
      </w:r>
      <w:proofErr w:type="gramStart"/>
      <w:r w:rsidR="00087787">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sidR="00EC56FA">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59FEE6E1" w14:textId="6EE2752C" w:rsidR="00515EEA" w:rsidRPr="00C10CEA" w:rsidRDefault="00BF147F" w:rsidP="00A31D3F">
      <w:pPr>
        <w:pStyle w:val="ListParagraph"/>
        <w:numPr>
          <w:ilvl w:val="1"/>
          <w:numId w:val="4"/>
        </w:numPr>
        <w:rPr>
          <w:rFonts w:ascii="Corbel" w:hAnsi="Corbel"/>
          <w:sz w:val="26"/>
          <w:szCs w:val="26"/>
        </w:rPr>
      </w:pPr>
      <w:r>
        <w:rPr>
          <w:rFonts w:ascii="Corbel" w:hAnsi="Corbel"/>
          <w:sz w:val="26"/>
          <w:szCs w:val="26"/>
        </w:rPr>
        <w:t xml:space="preserve">Creation and/or customization of </w:t>
      </w:r>
      <w:r w:rsidRPr="00ED0C67">
        <w:rPr>
          <w:rFonts w:ascii="Corbel" w:hAnsi="Corbel"/>
          <w:b/>
          <w:bCs/>
          <w:color w:val="19AFA4"/>
          <w:sz w:val="26"/>
          <w:szCs w:val="26"/>
        </w:rPr>
        <w:t>{</w:t>
      </w:r>
      <w:proofErr w:type="spellStart"/>
      <w:r w:rsidR="003F30B9">
        <w:rPr>
          <w:rFonts w:ascii="Corbel" w:hAnsi="Corbel"/>
          <w:b/>
          <w:bCs/>
          <w:color w:val="19AFA4"/>
          <w:sz w:val="26"/>
          <w:szCs w:val="26"/>
        </w:rPr>
        <w:t>oscpCount</w:t>
      </w:r>
      <w:proofErr w:type="spellEnd"/>
      <w:r w:rsidRPr="00ED0C67">
        <w:rPr>
          <w:rFonts w:ascii="Corbel" w:hAnsi="Corbel"/>
          <w:b/>
          <w:bCs/>
          <w:color w:val="19AFA4"/>
          <w:sz w:val="26"/>
          <w:szCs w:val="26"/>
        </w:rPr>
        <w:t>}</w:t>
      </w:r>
      <w:r>
        <w:rPr>
          <w:rFonts w:ascii="Corbel" w:hAnsi="Corbel"/>
          <w:b/>
          <w:bCs/>
          <w:color w:val="19AFA4"/>
          <w:sz w:val="26"/>
          <w:szCs w:val="26"/>
        </w:rPr>
        <w:t xml:space="preserve"> </w:t>
      </w:r>
      <w:r w:rsidR="00C10CEA">
        <w:rPr>
          <w:rFonts w:ascii="Corbel" w:hAnsi="Corbel"/>
          <w:sz w:val="26"/>
          <w:szCs w:val="26"/>
        </w:rPr>
        <w:t>Open Source Career Portal</w:t>
      </w:r>
      <w:r w:rsidR="00087787">
        <w:rPr>
          <w:rFonts w:ascii="Corbel" w:hAnsi="Corbel"/>
          <w:sz w:val="26"/>
          <w:szCs w:val="26"/>
        </w:rPr>
        <w:t>(</w:t>
      </w:r>
      <w:r>
        <w:rPr>
          <w:rFonts w:ascii="Corbel" w:hAnsi="Corbel"/>
          <w:sz w:val="26"/>
          <w:szCs w:val="26"/>
        </w:rPr>
        <w:t>s</w:t>
      </w:r>
      <w:proofErr w:type="gramStart"/>
      <w:r w:rsidR="00087787">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r w:rsidR="00C24B17" w:rsidRPr="00C10CEA">
        <w:rPr>
          <w:rFonts w:ascii="Corbel" w:hAnsi="Corbel"/>
          <w:sz w:val="26"/>
          <w:szCs w:val="26"/>
          <w:highlight w:val="yellow"/>
        </w:rPr>
        <w:t>{/</w:t>
      </w:r>
      <w:proofErr w:type="spellStart"/>
      <w:r w:rsidR="00C24B17" w:rsidRPr="00C10CEA">
        <w:rPr>
          <w:rFonts w:ascii="Corbel" w:hAnsi="Corbel"/>
          <w:sz w:val="26"/>
          <w:szCs w:val="26"/>
          <w:highlight w:val="yellow"/>
        </w:rPr>
        <w:t>paidAdditions</w:t>
      </w:r>
      <w:proofErr w:type="spellEnd"/>
      <w:r w:rsidR="00C24B17" w:rsidRPr="00C10CEA">
        <w:rPr>
          <w:rFonts w:ascii="Corbel" w:hAnsi="Corbel"/>
          <w:sz w:val="26"/>
          <w:szCs w:val="26"/>
          <w:highlight w:val="yellow"/>
        </w:rPr>
        <w:t>}</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sidR="00AA571C" w:rsidRPr="006C7559">
        <w:rPr>
          <w:rFonts w:ascii="Corbel" w:hAnsi="Corbel"/>
          <w:sz w:val="26"/>
          <w:szCs w:val="26"/>
          <w:highlight w:val="yellow"/>
        </w:rPr>
        <w:t>{</w:t>
      </w:r>
      <w:proofErr w:type="gramEnd"/>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proofErr w:type="gramEnd"/>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63CC3B40" w14:textId="493EEBCA"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w:t>
      </w:r>
      <w:proofErr w:type="spellStart"/>
      <w:proofErr w:type="gramStart"/>
      <w:r w:rsidR="004D24D6">
        <w:rPr>
          <w:rFonts w:ascii="Corbel" w:hAnsi="Corbel"/>
          <w:sz w:val="26"/>
          <w:szCs w:val="26"/>
          <w:highlight w:val="yellow"/>
        </w:rPr>
        <w:t>noDataMigration</w:t>
      </w:r>
      <w:proofErr w:type="spellEnd"/>
      <w:r w:rsidR="004D24D6">
        <w:rPr>
          <w:rFonts w:ascii="Corbel" w:hAnsi="Corbel"/>
          <w:sz w:val="26"/>
          <w:szCs w:val="26"/>
          <w:highlight w:val="yellow"/>
        </w:rPr>
        <w:t>}</w:t>
      </w:r>
      <w:r w:rsidR="00734758" w:rsidRPr="006C7559">
        <w:rPr>
          <w:rFonts w:ascii="Corbel" w:hAnsi="Corbel"/>
          <w:sz w:val="26"/>
          <w:szCs w:val="26"/>
          <w:highlight w:val="yellow"/>
        </w:rPr>
        <w:t>{</w:t>
      </w:r>
      <w:proofErr w:type="gramEnd"/>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ED0C67">
        <w:rPr>
          <w:rFonts w:ascii="Corbel" w:hAnsi="Corbel"/>
          <w:b/>
          <w:bCs/>
          <w:color w:val="19AFA4"/>
          <w:sz w:val="26"/>
          <w:szCs w:val="26"/>
        </w:rPr>
        <w:t>{</w:t>
      </w:r>
      <w:proofErr w:type="spellStart"/>
      <w:r>
        <w:rPr>
          <w:rFonts w:ascii="Corbel" w:hAnsi="Corbel"/>
          <w:b/>
          <w:bCs/>
          <w:color w:val="19AFA4"/>
          <w:sz w:val="26"/>
          <w:szCs w:val="26"/>
        </w:rPr>
        <w:t>existingSystem</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2F4AE1">
        <w:rPr>
          <w:rFonts w:ascii="Corbel" w:hAnsi="Corbel"/>
          <w:sz w:val="26"/>
          <w:szCs w:val="26"/>
          <w:highlight w:val="yellow"/>
        </w:rPr>
        <w:t>existingSystem</w:t>
      </w:r>
      <w:proofErr w:type="spellEnd"/>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ED0C67">
        <w:rPr>
          <w:rFonts w:ascii="Corbel" w:hAnsi="Corbel"/>
          <w:b/>
          <w:bCs/>
          <w:color w:val="19AFA4"/>
          <w:sz w:val="26"/>
          <w:szCs w:val="26"/>
        </w:rPr>
        <w:t>{</w:t>
      </w:r>
      <w:proofErr w:type="spellStart"/>
      <w:r w:rsidRPr="000F6A58">
        <w:rPr>
          <w:rFonts w:ascii="Corbel" w:hAnsi="Corbel"/>
          <w:b/>
          <w:bCs/>
          <w:color w:val="19AFA4"/>
          <w:sz w:val="26"/>
          <w:szCs w:val="26"/>
        </w:rPr>
        <w:t>addtlDatasources</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sidRPr="006C7559">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pPr>
        <w:spacing w:before="240" w:after="0"/>
        <w:rPr>
          <w:rFonts w:ascii="Corbel" w:hAnsi="Corbel"/>
          <w:b/>
          <w:sz w:val="26"/>
          <w:szCs w:val="26"/>
        </w:rPr>
      </w:pPr>
      <w:r>
        <w:rPr>
          <w:rFonts w:ascii="Corbel" w:hAnsi="Corbel"/>
          <w:b/>
          <w:sz w:val="26"/>
          <w:szCs w:val="26"/>
        </w:rPr>
        <w:t>ACCEPTANCE</w:t>
      </w:r>
    </w:p>
    <w:p w14:paraId="64A46501" w14:textId="77777777" w:rsidR="00A216BA" w:rsidRDefault="00772BE2">
      <w:pPr>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329D6CFC"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 xml:space="preserve">made in </w:t>
      </w:r>
      <w:proofErr w:type="gramStart"/>
      <w:r>
        <w:rPr>
          <w:rFonts w:ascii="Corbel" w:hAnsi="Corbel"/>
          <w:sz w:val="26"/>
          <w:szCs w:val="26"/>
        </w:rPr>
        <w:t>payments</w:t>
      </w:r>
      <w:r w:rsidRPr="000019F6">
        <w:rPr>
          <w:rFonts w:ascii="Corbel" w:hAnsi="Corbel"/>
          <w:sz w:val="26"/>
          <w:szCs w:val="26"/>
        </w:rPr>
        <w:t>:</w:t>
      </w:r>
      <w:r w:rsidR="00A906B0" w:rsidRPr="006C7559">
        <w:rPr>
          <w:rFonts w:ascii="Corbel" w:hAnsi="Corbel"/>
          <w:sz w:val="26"/>
          <w:szCs w:val="26"/>
          <w:highlight w:val="yellow"/>
        </w:rPr>
        <w:t>{</w:t>
      </w:r>
      <w:proofErr w:type="gramEnd"/>
      <w:r w:rsidR="00A906B0" w:rsidRPr="006C7559">
        <w:rPr>
          <w:rFonts w:ascii="Corbel" w:hAnsi="Corbel"/>
          <w:sz w:val="26"/>
          <w:szCs w:val="26"/>
          <w:highlight w:val="yellow"/>
        </w:rPr>
        <w:t>#</w:t>
      </w:r>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9F4D76"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r w:rsidR="00A906B0" w:rsidRPr="008F18C3">
        <w:rPr>
          <w:rFonts w:ascii="Corbel" w:hAnsi="Corbel"/>
          <w:sz w:val="26"/>
          <w:szCs w:val="26"/>
          <w:highlight w:val="yellow"/>
        </w:rPr>
        <w:t>payments</w:t>
      </w:r>
      <w:r w:rsidR="002A46F4">
        <w:rPr>
          <w:rFonts w:ascii="Corbel" w:hAnsi="Corbel"/>
          <w:sz w:val="26"/>
          <w:szCs w:val="26"/>
          <w:highlight w:val="yellow"/>
        </w:rPr>
        <w:t>_</w:t>
      </w:r>
      <w:proofErr w:type="gramStart"/>
      <w:r w:rsidR="00E463D8">
        <w:rPr>
          <w:rFonts w:ascii="Corbel" w:hAnsi="Corbel"/>
          <w:sz w:val="26"/>
          <w:szCs w:val="26"/>
          <w:highlight w:val="yellow"/>
        </w:rPr>
        <w:t>t</w:t>
      </w:r>
      <w:r w:rsidR="00A906B0" w:rsidRPr="008F18C3">
        <w:rPr>
          <w:rFonts w:ascii="Corbel" w:hAnsi="Corbel"/>
          <w:sz w:val="26"/>
          <w:szCs w:val="26"/>
          <w:highlight w:val="yellow"/>
        </w:rPr>
        <w:t>wo</w:t>
      </w:r>
      <w:proofErr w:type="spellEnd"/>
      <w:r w:rsidR="00A906B0" w:rsidRPr="008F18C3">
        <w:rPr>
          <w:rFonts w:ascii="Corbel" w:hAnsi="Corbel"/>
          <w:sz w:val="26"/>
          <w:szCs w:val="26"/>
          <w:highlight w:val="yellow"/>
        </w:rPr>
        <w:t>}{</w:t>
      </w:r>
      <w:proofErr w:type="gramEnd"/>
      <w:r w:rsidR="00A906B0" w:rsidRPr="008F18C3">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8F18C3">
        <w:rPr>
          <w:rFonts w:ascii="Corbel" w:hAnsi="Corbel"/>
          <w:sz w:val="26"/>
          <w:szCs w:val="26"/>
          <w:highlight w:val="yellow"/>
        </w:rPr>
        <w: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258791B3"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xml:space="preserve">% at project completion and Client </w:t>
      </w:r>
      <w:proofErr w:type="gramStart"/>
      <w:r w:rsidR="00A906B0">
        <w:rPr>
          <w:rFonts w:ascii="Corbel" w:hAnsi="Corbel"/>
          <w:sz w:val="26"/>
          <w:szCs w:val="26"/>
        </w:rPr>
        <w:t>sign-offs</w:t>
      </w:r>
      <w:proofErr w:type="gramEnd"/>
      <w:r w:rsidR="00A906B0">
        <w:rPr>
          <w:rFonts w:ascii="Corbel" w:hAnsi="Corbel"/>
          <w:sz w:val="26"/>
          <w:szCs w:val="26"/>
        </w:rPr>
        <w:t xml:space="preserve">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w:t>
      </w:r>
      <w:proofErr w:type="spellStart"/>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hree</w:t>
      </w:r>
      <w:proofErr w:type="spellEnd"/>
      <w:r w:rsidR="00A906B0" w:rsidRPr="006C7559">
        <w:rPr>
          <w:rFonts w:ascii="Corbel" w:hAnsi="Corbel"/>
          <w:sz w:val="26"/>
          <w:szCs w:val="26"/>
          <w:highlight w:val="yellow"/>
        </w:rPr>
        <w:t>}</w:t>
      </w:r>
    </w:p>
    <w:p w14:paraId="4B0ACBE4" w14:textId="53F3E18E" w:rsidR="00E14D0B" w:rsidRDefault="00E14D0B" w:rsidP="00E14D0B">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proofErr w:type="gramStart"/>
      <w:r>
        <w:rPr>
          <w:rFonts w:ascii="Corbel" w:hAnsi="Corbel"/>
          <w:sz w:val="26"/>
          <w:szCs w:val="26"/>
          <w:highlight w:val="yellow"/>
        </w:rPr>
        <w:t>oscpOption</w:t>
      </w:r>
      <w:r w:rsidRPr="006C7559">
        <w:rPr>
          <w:rFonts w:ascii="Corbel" w:hAnsi="Corbel"/>
          <w:sz w:val="26"/>
          <w:szCs w:val="26"/>
          <w:highlight w:val="yellow"/>
        </w:rPr>
        <w:t>}</w:t>
      </w:r>
      <w:r w:rsidR="00EC01E4">
        <w:rPr>
          <w:rFonts w:ascii="Corbel" w:eastAsia="Corbel" w:hAnsi="Corbel" w:cs="Corbel"/>
          <w:b/>
          <w:bCs/>
          <w:color w:val="000000" w:themeColor="text1"/>
          <w:sz w:val="26"/>
          <w:szCs w:val="26"/>
        </w:rPr>
        <w:t>OPEN</w:t>
      </w:r>
      <w:proofErr w:type="gramEnd"/>
      <w:r w:rsidR="00EC01E4">
        <w:rPr>
          <w:rFonts w:ascii="Corbel" w:eastAsia="Corbel" w:hAnsi="Corbel" w:cs="Corbel"/>
          <w:b/>
          <w:bCs/>
          <w:color w:val="000000" w:themeColor="text1"/>
          <w:sz w:val="26"/>
          <w:szCs w:val="26"/>
        </w:rPr>
        <w:t xml:space="preserve"> SOURCE CAREER PORTAL </w:t>
      </w:r>
      <w:r w:rsidR="00E70361">
        <w:rPr>
          <w:rFonts w:ascii="Corbel" w:eastAsia="Corbel" w:hAnsi="Corbel" w:cs="Corbel"/>
          <w:b/>
          <w:bCs/>
          <w:color w:val="000000" w:themeColor="text1"/>
          <w:sz w:val="26"/>
          <w:szCs w:val="26"/>
        </w:rPr>
        <w:t>(OPTIONAL)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00493DBC">
        <w:tc>
          <w:tcPr>
            <w:tcW w:w="720" w:type="dxa"/>
            <w:vAlign w:val="center"/>
          </w:tcPr>
          <w:p w14:paraId="783CBD5F" w14:textId="12DBCB2B" w:rsidR="00E14D0B" w:rsidRPr="007722CE" w:rsidRDefault="00E14D0B" w:rsidP="0021279D">
            <w:pPr>
              <w:rPr>
                <w:rFonts w:ascii="Corbel" w:eastAsia="Corbel" w:hAnsi="Corbel" w:cs="Corbel"/>
                <w:color w:val="FF0000"/>
                <w:sz w:val="26"/>
                <w:szCs w:val="26"/>
                <w:vertAlign w:val="superscript"/>
              </w:rPr>
            </w:pPr>
            <w:r w:rsidRPr="007722CE">
              <w:rPr>
                <w:rFonts w:ascii="Corbel" w:eastAsia="Corbel" w:hAnsi="Corbel" w:cs="Corbel"/>
                <w:color w:val="FFFFFF" w:themeColor="background1"/>
                <w:sz w:val="26"/>
                <w:szCs w:val="26"/>
                <w:vertAlign w:val="superscript"/>
              </w:rPr>
              <w:t>\</w:t>
            </w:r>
            <w:r w:rsidR="007722CE" w:rsidRPr="007722CE">
              <w:rPr>
                <w:rFonts w:ascii="Corbel" w:eastAsia="Corbel" w:hAnsi="Corbel" w:cs="Corbel"/>
                <w:color w:val="FFFFFF" w:themeColor="background1"/>
                <w:sz w:val="26"/>
                <w:szCs w:val="26"/>
                <w:vertAlign w:val="superscript"/>
              </w:rPr>
              <w:t>O</w:t>
            </w:r>
            <w:r w:rsidRPr="007722CE">
              <w:rPr>
                <w:rFonts w:ascii="Corbel" w:eastAsia="Corbel" w:hAnsi="Corbel" w:cs="Corbel"/>
                <w:color w:val="FFFFFF" w:themeColor="background1"/>
                <w:sz w:val="26"/>
                <w:szCs w:val="26"/>
                <w:vertAlign w:val="superscript"/>
              </w:rPr>
              <w:t>\</w:t>
            </w:r>
          </w:p>
        </w:tc>
        <w:tc>
          <w:tcPr>
            <w:tcW w:w="8630" w:type="dxa"/>
          </w:tcPr>
          <w:p w14:paraId="4D39D3A8" w14:textId="6D81F71C" w:rsidR="00E14D0B" w:rsidRDefault="00E14D0B" w:rsidP="0021279D">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sidRPr="005D144E">
              <w:rPr>
                <w:rFonts w:ascii="Corbel" w:hAnsi="Corbel"/>
                <w:b/>
                <w:bCs/>
                <w:color w:val="19AFA4"/>
                <w:sz w:val="26"/>
                <w:szCs w:val="26"/>
              </w:rPr>
              <w:t>}</w:t>
            </w:r>
            <w:r w:rsidR="00E70361">
              <w:rPr>
                <w:rFonts w:ascii="Corbel" w:hAnsi="Corbel"/>
                <w:b/>
                <w:bCs/>
                <w:color w:val="19AFA4"/>
                <w:sz w:val="26"/>
                <w:szCs w:val="26"/>
              </w:rPr>
              <w:t xml:space="preserve"> </w:t>
            </w:r>
            <w:r w:rsidR="00E70361" w:rsidRPr="00E70361">
              <w:rPr>
                <w:rFonts w:ascii="Corbel" w:eastAsia="Corbel" w:hAnsi="Corbel" w:cs="Corbel"/>
                <w:color w:val="000000" w:themeColor="text1"/>
                <w:sz w:val="26"/>
                <w:szCs w:val="26"/>
              </w:rPr>
              <w:t>for the first instance. Additional instances billed at 50%.</w:t>
            </w:r>
          </w:p>
        </w:tc>
      </w:tr>
    </w:tbl>
    <w:p w14:paraId="1C91F530" w14:textId="02B99EE0" w:rsidR="007231C4" w:rsidRDefault="00E14D0B" w:rsidP="00E14D0B">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sidRPr="006C7559">
        <w:rPr>
          <w:rFonts w:ascii="Corbel" w:hAnsi="Corbel"/>
          <w:sz w:val="26"/>
          <w:szCs w:val="26"/>
          <w:highlight w:val="yellow"/>
        </w:rPr>
        <w:t>}</w:t>
      </w:r>
      <w:r w:rsidR="007231C4" w:rsidRPr="006C7559">
        <w:rPr>
          <w:rFonts w:ascii="Corbel" w:hAnsi="Corbel"/>
          <w:sz w:val="26"/>
          <w:szCs w:val="26"/>
          <w:highlight w:val="yellow"/>
        </w:rPr>
        <w:t>{</w:t>
      </w:r>
      <w:proofErr w:type="gramEnd"/>
      <w:r w:rsidR="007231C4" w:rsidRPr="006C7559">
        <w:rPr>
          <w:rFonts w:ascii="Corbel" w:hAnsi="Corbel"/>
          <w:sz w:val="26"/>
          <w:szCs w:val="26"/>
          <w:highlight w:val="yellow"/>
        </w:rPr>
        <w:t>#</w:t>
      </w:r>
      <w:r w:rsidR="007231C4">
        <w:rPr>
          <w:rFonts w:ascii="Corbel" w:hAnsi="Corbel"/>
          <w:sz w:val="26"/>
          <w:szCs w:val="26"/>
          <w:highlight w:val="yellow"/>
        </w:rPr>
        <w:t>onSiteTraining</w:t>
      </w:r>
      <w:r w:rsidR="007231C4" w:rsidRPr="006C7559">
        <w:rPr>
          <w:rFonts w:ascii="Corbel" w:hAnsi="Corbel"/>
          <w:sz w:val="26"/>
          <w:szCs w:val="26"/>
          <w:highlight w:val="yellow"/>
        </w:rPr>
        <w:t>}</w:t>
      </w:r>
      <w:r w:rsidR="007231C4">
        <w:rPr>
          <w:rFonts w:ascii="Corbel" w:eastAsia="Corbel" w:hAnsi="Corbel" w:cs="Corbel"/>
          <w:b/>
          <w:bCs/>
          <w:color w:val="000000" w:themeColor="text1"/>
          <w:sz w:val="26"/>
          <w:szCs w:val="26"/>
        </w:rPr>
        <w:t>ON-SITE TRAINING</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21279D">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771CB484">
              <w:rPr>
                <w:rFonts w:ascii="Corbel" w:eastAsia="Corbel" w:hAnsi="Corbel" w:cs="Corbel"/>
                <w:color w:val="000000" w:themeColor="text1"/>
                <w:sz w:val="26"/>
                <w:szCs w:val="26"/>
              </w:rPr>
              <w:t>client‘</w:t>
            </w:r>
            <w:proofErr w:type="gramEnd"/>
            <w:r w:rsidRPr="771CB484">
              <w:rPr>
                <w:rFonts w:ascii="Corbel" w:eastAsia="Corbel" w:hAnsi="Corbel" w:cs="Corbel"/>
                <w:color w:val="000000" w:themeColor="text1"/>
                <w:sz w:val="26"/>
                <w:szCs w:val="26"/>
              </w:rPr>
              <w: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sidRPr="005D144E">
              <w:rPr>
                <w:rFonts w:ascii="Corbel" w:hAnsi="Corbel"/>
                <w:b/>
                <w:bCs/>
                <w:color w:val="19AFA4"/>
                <w:sz w:val="26"/>
                <w:szCs w:val="26"/>
              </w:rPr>
              <w:t>}</w:t>
            </w:r>
          </w:p>
        </w:tc>
      </w:tr>
    </w:tbl>
    <w:p w14:paraId="64A46509" w14:textId="4317F206" w:rsidR="00A216BA" w:rsidRDefault="007231C4" w:rsidP="0021279D">
      <w:pPr>
        <w:spacing w:after="0"/>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sidRPr="006C7559">
        <w:rPr>
          <w:rFonts w:ascii="Corbel" w:hAnsi="Corbel"/>
          <w:sz w:val="26"/>
          <w:szCs w:val="26"/>
          <w:highlight w:val="yellow"/>
        </w:rPr>
        <w:t>}</w:t>
      </w:r>
      <w:r w:rsidR="00972DB9" w:rsidRPr="006C7559">
        <w:rPr>
          <w:rFonts w:ascii="Corbel" w:hAnsi="Corbel"/>
          <w:sz w:val="26"/>
          <w:szCs w:val="26"/>
          <w:highlight w:val="yellow"/>
        </w:rPr>
        <w:t>{</w:t>
      </w:r>
      <w:proofErr w:type="gramEnd"/>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WHITE GLOVE AFTER-CARE</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rsidP="0021279D">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Our standard engagement ends Post Go Live once the client has agreed that the project is complete and if applicable, any migration issues have been resolved. </w:t>
      </w:r>
      <w:proofErr w:type="gramStart"/>
      <w:r>
        <w:rPr>
          <w:rFonts w:ascii="Corbel" w:eastAsia="Corbel" w:hAnsi="Corbel" w:cs="Corbel"/>
          <w:color w:val="000000" w:themeColor="text1"/>
          <w:sz w:val="26"/>
          <w:szCs w:val="26"/>
        </w:rPr>
        <w:t>We've</w:t>
      </w:r>
      <w:proofErr w:type="gramEnd"/>
      <w:r>
        <w:rPr>
          <w:rFonts w:ascii="Corbel" w:eastAsia="Corbel" w:hAnsi="Corbel" w:cs="Corbel"/>
          <w:color w:val="000000" w:themeColor="text1"/>
          <w:sz w:val="26"/>
          <w:szCs w:val="26"/>
        </w:rPr>
        <w:t xml:space="preserve"> </w:t>
      </w:r>
      <w:r>
        <w:rPr>
          <w:rFonts w:ascii="Corbel" w:eastAsia="Corbel" w:hAnsi="Corbel" w:cs="Corbel"/>
          <w:color w:val="000000" w:themeColor="text1"/>
          <w:sz w:val="26"/>
          <w:szCs w:val="26"/>
        </w:rPr>
        <w:lastRenderedPageBreak/>
        <w:t>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4BC4E5D0" w14:textId="77777777" w:rsidR="0021279D" w:rsidRDefault="00772BE2">
      <w:pPr>
        <w:spacing w:before="240" w:after="0"/>
        <w:rPr>
          <w:rFonts w:ascii="Corbel" w:hAnsi="Corbel"/>
          <w:sz w:val="26"/>
          <w:szCs w:val="26"/>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Pr>
          <w:rFonts w:ascii="Corbel" w:eastAsia="Corbel" w:hAnsi="Corbel" w:cs="Corbel"/>
          <w:color w:val="000000" w:themeColor="text1"/>
          <w:sz w:val="26"/>
          <w:szCs w:val="26"/>
        </w:rPr>
        <w:t>system</w:t>
      </w:r>
      <w:r w:rsidRPr="000019F6">
        <w:rPr>
          <w:rFonts w:ascii="Corbel" w:hAnsi="Corbel"/>
          <w:sz w:val="26"/>
          <w:szCs w:val="26"/>
        </w:rPr>
        <w:t>.</w:t>
      </w:r>
      <w:r w:rsidR="00972DB9" w:rsidRPr="006C7559">
        <w:rPr>
          <w:rFonts w:ascii="Corbel" w:hAnsi="Corbel"/>
          <w:sz w:val="26"/>
          <w:szCs w:val="26"/>
          <w:highlight w:val="yellow"/>
        </w:rPr>
        <w:t>{</w:t>
      </w:r>
      <w:proofErr w:type="gramEnd"/>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p>
    <w:p w14:paraId="64A46512" w14:textId="271E2D84" w:rsidR="00A216BA" w:rsidRPr="0021279D" w:rsidRDefault="00772BE2">
      <w:pPr>
        <w:spacing w:before="240" w:after="0"/>
        <w:rPr>
          <w:rFonts w:ascii="Corbel" w:hAnsi="Corbel"/>
          <w:sz w:val="26"/>
          <w:szCs w:val="26"/>
        </w:rPr>
      </w:pPr>
      <w:r>
        <w:rPr>
          <w:rFonts w:ascii="Corbel" w:hAnsi="Corbel"/>
          <w:b/>
          <w:bCs/>
          <w:sz w:val="26"/>
          <w:szCs w:val="26"/>
        </w:rPr>
        <w:t>ADDITIONAL OPTIONAL SERVICES</w:t>
      </w:r>
    </w:p>
    <w:p w14:paraId="64A46513" w14:textId="1D52462B"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Pr>
          <w:rFonts w:ascii="Corbel" w:hAnsi="Corbel"/>
          <w:sz w:val="26"/>
          <w:szCs w:val="26"/>
        </w:rPr>
        <w:t xml:space="preserve"> Some examples of additional, options servers may include:</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41ECB49E" w:rsidR="00A216BA" w:rsidRDefault="00772BE2">
      <w:pPr>
        <w:pStyle w:val="ListParagraph"/>
        <w:numPr>
          <w:ilvl w:val="1"/>
          <w:numId w:val="4"/>
        </w:numPr>
        <w:rPr>
          <w:rFonts w:ascii="Corbel" w:hAnsi="Corbel"/>
          <w:sz w:val="26"/>
          <w:szCs w:val="26"/>
        </w:rPr>
      </w:pPr>
      <w:r>
        <w:rPr>
          <w:rFonts w:ascii="Corbel" w:hAnsi="Corbel"/>
          <w:sz w:val="26"/>
          <w:szCs w:val="26"/>
        </w:rPr>
        <w:t>Custom Reports</w:t>
      </w:r>
      <w:r w:rsidR="00BA419B">
        <w:rPr>
          <w:rFonts w:ascii="Corbel" w:hAnsi="Corbel"/>
          <w:sz w:val="26"/>
          <w:szCs w:val="26"/>
        </w:rPr>
        <w:t xml:space="preserve"> or exports not listed in scope of implementation section above</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CB70185" w14:textId="2C569D87" w:rsidR="005215F4" w:rsidRPr="00BA419B" w:rsidRDefault="00772BE2" w:rsidP="00BA419B">
      <w:pPr>
        <w:pStyle w:val="ListParagraph"/>
        <w:numPr>
          <w:ilvl w:val="0"/>
          <w:numId w:val="4"/>
        </w:numPr>
        <w:rPr>
          <w:rFonts w:ascii="Corbel" w:hAnsi="Corbel"/>
          <w:sz w:val="26"/>
          <w:szCs w:val="26"/>
        </w:rPr>
      </w:pPr>
      <w:r>
        <w:rPr>
          <w:rFonts w:ascii="Corbel" w:hAnsi="Corbel"/>
          <w:sz w:val="26"/>
          <w:szCs w:val="26"/>
        </w:rPr>
        <w:t>Data integrity validation, de-</w:t>
      </w:r>
      <w:proofErr w:type="gramStart"/>
      <w:r>
        <w:rPr>
          <w:rFonts w:ascii="Corbel" w:hAnsi="Corbel"/>
          <w:sz w:val="26"/>
          <w:szCs w:val="26"/>
        </w:rPr>
        <w:t>duplication</w:t>
      </w:r>
      <w:proofErr w:type="gramEnd"/>
      <w:r>
        <w:rPr>
          <w:rFonts w:ascii="Corbel" w:hAnsi="Corbel"/>
          <w:sz w:val="26"/>
          <w:szCs w:val="26"/>
        </w:rPr>
        <w:t xml:space="preserve"> or transformation other than what is necessary to map the Client’s existing data to Bullhorn entities</w:t>
      </w:r>
      <w:r w:rsidR="005215F4" w:rsidRPr="00BA419B">
        <w:rPr>
          <w:rFonts w:ascii="Corbel" w:hAnsi="Corbel"/>
          <w:sz w:val="26"/>
          <w:szCs w:val="26"/>
          <w:highlight w:val="yellow"/>
        </w:rPr>
        <w:t>{^</w:t>
      </w:r>
      <w:proofErr w:type="spellStart"/>
      <w:r w:rsidR="005215F4" w:rsidRPr="00BA419B">
        <w:rPr>
          <w:rFonts w:ascii="Corbel" w:hAnsi="Corbel"/>
          <w:sz w:val="26"/>
          <w:szCs w:val="26"/>
          <w:highlight w:val="yellow"/>
        </w:rPr>
        <w:t>qbIntegration</w:t>
      </w:r>
      <w:proofErr w:type="spellEnd"/>
      <w:r w:rsidR="005215F4" w:rsidRPr="00BA419B">
        <w:rPr>
          <w:rFonts w:ascii="Corbel" w:hAnsi="Corbel"/>
          <w:sz w:val="26"/>
          <w:szCs w:val="26"/>
          <w:highlight w:val="yellow"/>
        </w:rPr>
        <w:t>}</w:t>
      </w:r>
    </w:p>
    <w:p w14:paraId="43C22FA5" w14:textId="6EFA4841" w:rsidR="005215F4" w:rsidRDefault="005215F4" w:rsidP="005215F4">
      <w:pPr>
        <w:pStyle w:val="ListParagraph"/>
        <w:numPr>
          <w:ilvl w:val="0"/>
          <w:numId w:val="4"/>
        </w:numPr>
        <w:rPr>
          <w:rFonts w:ascii="Corbel" w:hAnsi="Corbel"/>
          <w:sz w:val="26"/>
          <w:szCs w:val="26"/>
        </w:rPr>
      </w:pPr>
      <w:proofErr w:type="spellStart"/>
      <w:r>
        <w:rPr>
          <w:rFonts w:ascii="Corbel" w:hAnsi="Corbel"/>
          <w:sz w:val="26"/>
          <w:szCs w:val="26"/>
        </w:rPr>
        <w:t>Quickbooks</w:t>
      </w:r>
      <w:proofErr w:type="spellEnd"/>
      <w:r>
        <w:rPr>
          <w:rFonts w:ascii="Corbel" w:hAnsi="Corbel"/>
          <w:sz w:val="26"/>
          <w:szCs w:val="26"/>
        </w:rPr>
        <w:t xml:space="preserve"> integration</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qbIntegration</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009E285A" w:rsidRPr="00C24B17">
        <w:rPr>
          <w:rFonts w:ascii="Corbel" w:hAnsi="Corbel"/>
          <w:sz w:val="26"/>
          <w:szCs w:val="26"/>
          <w:highlight w:val="yellow"/>
        </w:rPr>
        <w:t>emailsAsNotes</w:t>
      </w:r>
      <w:proofErr w:type="spellEnd"/>
      <w:r w:rsidRPr="006C7559">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emailsAsNotes</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C24B17">
        <w:rPr>
          <w:rFonts w:ascii="Corbel" w:hAnsi="Corbel"/>
          <w:sz w:val="26"/>
          <w:szCs w:val="26"/>
          <w:highlight w:val="yellow"/>
        </w:rPr>
        <w:t>histSubmissions</w:t>
      </w:r>
      <w:proofErr w:type="spellEnd"/>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w:t>
      </w:r>
      <w:proofErr w:type="spellStart"/>
      <w:proofErr w:type="gramStart"/>
      <w:r w:rsidRPr="00C24B17">
        <w:rPr>
          <w:rFonts w:ascii="Corbel" w:hAnsi="Corbel"/>
          <w:sz w:val="26"/>
          <w:szCs w:val="26"/>
          <w:highlight w:val="yellow"/>
        </w:rPr>
        <w:t>histSubmissions</w:t>
      </w:r>
      <w:proofErr w:type="spellEnd"/>
      <w:r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C10CEA">
        <w:rPr>
          <w:rFonts w:ascii="Corbel" w:hAnsi="Corbel"/>
          <w:sz w:val="26"/>
          <w:szCs w:val="26"/>
          <w:highlight w:val="yellow"/>
        </w:rPr>
        <w:t>^</w:t>
      </w:r>
      <w:proofErr w:type="spellStart"/>
      <w:r w:rsidR="00C10CEA" w:rsidRPr="00C10CEA">
        <w:rPr>
          <w:rFonts w:ascii="Corbel" w:hAnsi="Corbel"/>
          <w:sz w:val="26"/>
          <w:szCs w:val="26"/>
          <w:highlight w:val="yellow"/>
        </w:rPr>
        <w:t>npeCount</w:t>
      </w:r>
      <w:proofErr w:type="spellEnd"/>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Pr>
          <w:rFonts w:ascii="Corbel" w:hAnsi="Corbel"/>
          <w:sz w:val="26"/>
          <w:szCs w:val="26"/>
        </w:rPr>
        <w:lastRenderedPageBreak/>
        <w:t>Creation and configuration of non-production environment</w:t>
      </w:r>
      <w:r w:rsidR="00BB76F8">
        <w:rPr>
          <w:rFonts w:ascii="Corbel" w:hAnsi="Corbel"/>
          <w:sz w:val="26"/>
          <w:szCs w:val="26"/>
        </w:rPr>
        <w:t>(</w:t>
      </w:r>
      <w:r>
        <w:rPr>
          <w:rFonts w:ascii="Corbel" w:hAnsi="Corbel"/>
          <w:sz w:val="26"/>
          <w:szCs w:val="26"/>
        </w:rPr>
        <w:t>s</w:t>
      </w:r>
      <w:proofErr w:type="gramStart"/>
      <w:r w:rsidR="00BB76F8">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Pr>
          <w:rFonts w:ascii="Corbel" w:hAnsi="Corbel"/>
          <w:sz w:val="26"/>
          <w:szCs w:val="26"/>
          <w:highlight w:val="yellow"/>
        </w:rPr>
        <w:t>^</w:t>
      </w:r>
      <w:proofErr w:type="spellStart"/>
      <w:r w:rsidRPr="00C10CEA">
        <w:rPr>
          <w:rFonts w:ascii="Corbel" w:hAnsi="Corbel"/>
          <w:sz w:val="26"/>
          <w:szCs w:val="26"/>
          <w:highlight w:val="yellow"/>
        </w:rPr>
        <w:t>oscpCount</w:t>
      </w:r>
      <w:proofErr w:type="spellEnd"/>
      <w:r w:rsidRPr="006C7559">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Pr>
          <w:rFonts w:ascii="Corbel" w:hAnsi="Corbel"/>
          <w:sz w:val="26"/>
          <w:szCs w:val="26"/>
        </w:rPr>
        <w:t xml:space="preserve">Creation and/or customization of </w:t>
      </w:r>
      <w:r w:rsidR="00C10CEA">
        <w:rPr>
          <w:rFonts w:ascii="Corbel" w:hAnsi="Corbel"/>
          <w:sz w:val="26"/>
          <w:szCs w:val="26"/>
        </w:rPr>
        <w:t>Open Source Career Portal</w:t>
      </w:r>
      <w:r w:rsidR="0011461D">
        <w:rPr>
          <w:rFonts w:ascii="Corbel" w:hAnsi="Corbel"/>
          <w:sz w:val="26"/>
          <w:szCs w:val="26"/>
        </w:rPr>
        <w:t>(</w:t>
      </w:r>
      <w:r>
        <w:rPr>
          <w:rFonts w:ascii="Corbel" w:hAnsi="Corbel"/>
          <w:sz w:val="26"/>
          <w:szCs w:val="26"/>
        </w:rPr>
        <w:t>s</w:t>
      </w:r>
      <w:proofErr w:type="gramStart"/>
      <w:r w:rsidR="0011461D">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sidRPr="004F373C">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proofErr w:type="spellStart"/>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roofErr w:type="spellEnd"/>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lastRenderedPageBreak/>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Please read the contract on the previous pages to make sure you understand all the details involved. </w:t>
      </w:r>
      <w:proofErr w:type="gramStart"/>
      <w:r>
        <w:rPr>
          <w:rFonts w:ascii="Corbel" w:hAnsi="Corbel"/>
          <w:sz w:val="26"/>
          <w:szCs w:val="26"/>
        </w:rPr>
        <w:t>It's</w:t>
      </w:r>
      <w:proofErr w:type="gramEnd"/>
      <w:r>
        <w:rPr>
          <w:rFonts w:ascii="Corbel" w:hAnsi="Corbel"/>
          <w:sz w:val="26"/>
          <w:szCs w:val="26"/>
        </w:rPr>
        <w:t xml:space="preserve">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you have any questions at all, please let us know. </w:t>
      </w:r>
      <w:proofErr w:type="gramStart"/>
      <w:r>
        <w:rPr>
          <w:rFonts w:ascii="Corbel" w:hAnsi="Corbel"/>
          <w:sz w:val="26"/>
          <w:szCs w:val="26"/>
        </w:rPr>
        <w:t>We're</w:t>
      </w:r>
      <w:proofErr w:type="gramEnd"/>
      <w:r>
        <w:rPr>
          <w:rFonts w:ascii="Corbel" w:hAnsi="Corbel"/>
          <w:sz w:val="26"/>
          <w:szCs w:val="26"/>
        </w:rPr>
        <w:t xml:space="preserve"> happy to clarify any points and there may be some items that we can sort out together. </w:t>
      </w:r>
      <w:proofErr w:type="gramStart"/>
      <w:r>
        <w:rPr>
          <w:rFonts w:ascii="Corbel" w:hAnsi="Corbel"/>
          <w:sz w:val="26"/>
          <w:szCs w:val="26"/>
        </w:rPr>
        <w:t>We're</w:t>
      </w:r>
      <w:proofErr w:type="gramEnd"/>
      <w:r>
        <w:rPr>
          <w:rFonts w:ascii="Corbel" w:hAnsi="Corbel"/>
          <w:sz w:val="26"/>
          <w:szCs w:val="26"/>
        </w:rPr>
        <w:t xml:space="preserv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you feel confident about everything and are ready to move forward, sign the document either physically or electronically (if </w:t>
      </w:r>
      <w:proofErr w:type="gramStart"/>
      <w:r>
        <w:rPr>
          <w:rFonts w:ascii="Corbel" w:hAnsi="Corbel"/>
          <w:sz w:val="26"/>
          <w:szCs w:val="26"/>
        </w:rPr>
        <w:t>you’ve</w:t>
      </w:r>
      <w:proofErr w:type="gramEnd"/>
      <w:r>
        <w:rPr>
          <w:rFonts w:ascii="Corbel" w:hAnsi="Corbel"/>
          <w:sz w:val="26"/>
          <w:szCs w:val="26"/>
        </w:rPr>
        <w:t xml:space="preser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we receive notification of your acceptance, </w:t>
      </w:r>
      <w:proofErr w:type="gramStart"/>
      <w:r>
        <w:rPr>
          <w:rFonts w:ascii="Corbel" w:hAnsi="Corbel"/>
          <w:sz w:val="26"/>
          <w:szCs w:val="26"/>
        </w:rPr>
        <w:t>we'll</w:t>
      </w:r>
      <w:proofErr w:type="gramEnd"/>
      <w:r>
        <w:rPr>
          <w:rFonts w:ascii="Corbel" w:hAnsi="Corbel"/>
          <w:sz w:val="26"/>
          <w:szCs w:val="26"/>
        </w:rPr>
        <w:t xml:space="preserve"> contact you shortly to sort out next steps and get the project rolling.</w:t>
      </w:r>
      <w:r>
        <w:rPr>
          <w:rFonts w:ascii="Corbel" w:hAnsi="Corbel"/>
          <w:sz w:val="26"/>
          <w:szCs w:val="26"/>
        </w:rPr>
        <w:br/>
      </w:r>
    </w:p>
    <w:p w14:paraId="64A46535"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w:t>
      </w:r>
      <w:proofErr w:type="gramStart"/>
      <w:r>
        <w:rPr>
          <w:rFonts w:ascii="Corbel" w:hAnsi="Corbel"/>
          <w:sz w:val="26"/>
          <w:szCs w:val="26"/>
        </w:rPr>
        <w:t>you'd</w:t>
      </w:r>
      <w:proofErr w:type="gramEnd"/>
      <w:r>
        <w:rPr>
          <w:rFonts w:ascii="Corbel" w:hAnsi="Corbel"/>
          <w:sz w:val="26"/>
          <w:szCs w:val="26"/>
        </w:rPr>
        <w:t xml:space="preserve"> like to speak to us by phone, don't hesitate to call us at (559) 412-5240.</w:t>
      </w:r>
    </w:p>
    <w:p w14:paraId="64A46536" w14:textId="77777777" w:rsidR="00A216BA" w:rsidRDefault="00A216BA" w:rsidP="00930BEE">
      <w:pPr>
        <w:keepNext/>
        <w:keepLines/>
        <w:jc w:val="both"/>
        <w:rPr>
          <w:rFonts w:ascii="Corbel" w:hAnsi="Corbel"/>
          <w:sz w:val="26"/>
          <w:szCs w:val="26"/>
        </w:rPr>
      </w:pPr>
    </w:p>
    <w:p w14:paraId="64A46537" w14:textId="77777777" w:rsidR="00A216BA" w:rsidRDefault="00772BE2" w:rsidP="00930BEE">
      <w:pPr>
        <w:keepNext/>
        <w:keepLines/>
        <w:tabs>
          <w:tab w:val="left" w:pos="4680"/>
        </w:tabs>
        <w:jc w:val="both"/>
        <w:rPr>
          <w:rFonts w:ascii="Corbel" w:hAnsi="Corbel" w:cs="Calibri"/>
          <w:color w:val="000000"/>
          <w:sz w:val="26"/>
          <w:szCs w:val="26"/>
        </w:rPr>
      </w:pPr>
      <w:r>
        <w:rPr>
          <w:rFonts w:ascii="Corbel" w:hAnsi="Corbel" w:cs="Calibri"/>
          <w:color w:val="000000"/>
          <w:sz w:val="26"/>
          <w:szCs w:val="26"/>
        </w:rPr>
        <w:t>Client</w:t>
      </w:r>
      <w:r>
        <w:rPr>
          <w:rFonts w:ascii="Corbel" w:hAnsi="Corbel" w:cs="Calibri"/>
          <w:b/>
          <w:sz w:val="26"/>
          <w:szCs w:val="26"/>
        </w:rPr>
        <w:tab/>
      </w:r>
      <w:r>
        <w:rPr>
          <w:rFonts w:ascii="Corbel" w:hAnsi="Corbel" w:cs="Calibri"/>
          <w:color w:val="000000"/>
          <w:sz w:val="26"/>
          <w:szCs w:val="26"/>
        </w:rPr>
        <w:t>Tonic HQ, Inc.</w:t>
      </w:r>
    </w:p>
    <w:tbl>
      <w:tblPr>
        <w:tblStyle w:val="TableGrid"/>
        <w:tblpPr w:vertAnchor="text" w:horzAnchor="margin" w:tblpY="177"/>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140"/>
      </w:tblGrid>
      <w:tr w:rsidR="00A216BA" w:rsidRPr="00D54E29" w14:paraId="64A46539" w14:textId="77777777" w:rsidTr="00D54E29">
        <w:trPr>
          <w:trHeight w:val="903"/>
        </w:trPr>
        <w:tc>
          <w:tcPr>
            <w:tcW w:w="4140" w:type="dxa"/>
            <w:vAlign w:val="bottom"/>
          </w:tcPr>
          <w:p w14:paraId="64A46538" w14:textId="79A8A821"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clientSignature</w:t>
            </w:r>
            <w:proofErr w:type="spellEnd"/>
          </w:p>
        </w:tc>
      </w:tr>
      <w:tr w:rsidR="00A216BA" w:rsidRPr="00D54E29" w14:paraId="64A4653B" w14:textId="77777777" w:rsidTr="00D54E29">
        <w:trPr>
          <w:trHeight w:val="613"/>
        </w:trPr>
        <w:tc>
          <w:tcPr>
            <w:tcW w:w="4140" w:type="dxa"/>
            <w:vAlign w:val="bottom"/>
          </w:tcPr>
          <w:p w14:paraId="64A4653A" w14:textId="35FA4C64"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clientName</w:t>
            </w:r>
            <w:proofErr w:type="spellEnd"/>
          </w:p>
        </w:tc>
      </w:tr>
      <w:tr w:rsidR="00A216BA" w:rsidRPr="00D54E29" w14:paraId="64A4653D" w14:textId="77777777" w:rsidTr="00D54E29">
        <w:trPr>
          <w:trHeight w:val="604"/>
        </w:trPr>
        <w:tc>
          <w:tcPr>
            <w:tcW w:w="4140" w:type="dxa"/>
            <w:vAlign w:val="bottom"/>
          </w:tcPr>
          <w:p w14:paraId="64A4653C" w14:textId="57D85F90"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clientTitle</w:t>
            </w:r>
            <w:proofErr w:type="spellEnd"/>
          </w:p>
        </w:tc>
      </w:tr>
    </w:tbl>
    <w:tbl>
      <w:tblPr>
        <w:tblStyle w:val="TableGrid"/>
        <w:tblpPr w:vertAnchor="text" w:horzAnchor="page" w:tblpX="6133" w:tblpY="253"/>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230"/>
      </w:tblGrid>
      <w:tr w:rsidR="00A216BA" w:rsidRPr="00D54E29" w14:paraId="64A4653F" w14:textId="77777777" w:rsidTr="00D54E29">
        <w:trPr>
          <w:trHeight w:val="811"/>
        </w:trPr>
        <w:tc>
          <w:tcPr>
            <w:tcW w:w="4230" w:type="dxa"/>
            <w:vAlign w:val="bottom"/>
          </w:tcPr>
          <w:p w14:paraId="64A4653E" w14:textId="130E16C1"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thqSignature</w:t>
            </w:r>
            <w:proofErr w:type="spellEnd"/>
          </w:p>
        </w:tc>
      </w:tr>
      <w:tr w:rsidR="00A216BA" w:rsidRPr="00D54E29" w14:paraId="64A46541" w14:textId="77777777" w:rsidTr="00D54E29">
        <w:trPr>
          <w:trHeight w:val="602"/>
        </w:trPr>
        <w:tc>
          <w:tcPr>
            <w:tcW w:w="4230" w:type="dxa"/>
            <w:vAlign w:val="bottom"/>
          </w:tcPr>
          <w:p w14:paraId="64A46540" w14:textId="0B73BB85"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thqName</w:t>
            </w:r>
            <w:proofErr w:type="spellEnd"/>
          </w:p>
        </w:tc>
      </w:tr>
      <w:tr w:rsidR="00A216BA" w:rsidRPr="00D54E29" w14:paraId="64A46543" w14:textId="77777777" w:rsidTr="00D54E29">
        <w:trPr>
          <w:trHeight w:val="611"/>
        </w:trPr>
        <w:tc>
          <w:tcPr>
            <w:tcW w:w="4230" w:type="dxa"/>
            <w:vAlign w:val="bottom"/>
          </w:tcPr>
          <w:p w14:paraId="64A46542" w14:textId="233C9EE9"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thqTitle</w:t>
            </w:r>
            <w:proofErr w:type="spellEnd"/>
          </w:p>
        </w:tc>
      </w:tr>
    </w:tbl>
    <w:p w14:paraId="64A46544" w14:textId="77777777" w:rsidR="00A216BA" w:rsidRDefault="00A216BA">
      <w:pPr>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98D70" w14:textId="77777777" w:rsidR="00050E99" w:rsidRDefault="00050E99">
      <w:pPr>
        <w:spacing w:after="0" w:line="240" w:lineRule="auto"/>
      </w:pPr>
      <w:r>
        <w:separator/>
      </w:r>
    </w:p>
  </w:endnote>
  <w:endnote w:type="continuationSeparator" w:id="0">
    <w:p w14:paraId="3FDE89F5" w14:textId="77777777" w:rsidR="00050E99" w:rsidRDefault="00050E99">
      <w:pPr>
        <w:spacing w:after="0" w:line="240" w:lineRule="auto"/>
      </w:pPr>
      <w:r>
        <w:continuationSeparator/>
      </w:r>
    </w:p>
  </w:endnote>
  <w:endnote w:type="continuationNotice" w:id="1">
    <w:p w14:paraId="7F4D728F" w14:textId="77777777" w:rsidR="00050E99" w:rsidRDefault="00050E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842AA" w14:textId="77777777" w:rsidR="00050E99" w:rsidRDefault="00050E99">
      <w:pPr>
        <w:spacing w:after="0" w:line="240" w:lineRule="auto"/>
      </w:pPr>
      <w:r>
        <w:separator/>
      </w:r>
    </w:p>
  </w:footnote>
  <w:footnote w:type="continuationSeparator" w:id="0">
    <w:p w14:paraId="6A0D1692" w14:textId="77777777" w:rsidR="00050E99" w:rsidRDefault="00050E99">
      <w:pPr>
        <w:spacing w:after="0" w:line="240" w:lineRule="auto"/>
      </w:pPr>
      <w:r>
        <w:continuationSeparator/>
      </w:r>
    </w:p>
  </w:footnote>
  <w:footnote w:type="continuationNotice" w:id="1">
    <w:p w14:paraId="79535A39" w14:textId="77777777" w:rsidR="00050E99" w:rsidRDefault="00050E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0E99"/>
    <w:rsid w:val="00054810"/>
    <w:rsid w:val="0007107D"/>
    <w:rsid w:val="00087787"/>
    <w:rsid w:val="00091B9A"/>
    <w:rsid w:val="000A46BA"/>
    <w:rsid w:val="000D73A4"/>
    <w:rsid w:val="000F6A58"/>
    <w:rsid w:val="0011461D"/>
    <w:rsid w:val="0011707D"/>
    <w:rsid w:val="00145E52"/>
    <w:rsid w:val="001D2634"/>
    <w:rsid w:val="001E33F4"/>
    <w:rsid w:val="0021279D"/>
    <w:rsid w:val="00264F36"/>
    <w:rsid w:val="002A46F4"/>
    <w:rsid w:val="002C1955"/>
    <w:rsid w:val="002D2DFB"/>
    <w:rsid w:val="002F4AE1"/>
    <w:rsid w:val="003139D6"/>
    <w:rsid w:val="00314D9F"/>
    <w:rsid w:val="00330156"/>
    <w:rsid w:val="00354F1C"/>
    <w:rsid w:val="003620BD"/>
    <w:rsid w:val="003913E1"/>
    <w:rsid w:val="003A6459"/>
    <w:rsid w:val="003A75C1"/>
    <w:rsid w:val="003C184F"/>
    <w:rsid w:val="003D54FA"/>
    <w:rsid w:val="003D5DF7"/>
    <w:rsid w:val="003E20AC"/>
    <w:rsid w:val="003F12C7"/>
    <w:rsid w:val="003F30B9"/>
    <w:rsid w:val="003F4226"/>
    <w:rsid w:val="003F5047"/>
    <w:rsid w:val="003F6311"/>
    <w:rsid w:val="004879E7"/>
    <w:rsid w:val="004C0744"/>
    <w:rsid w:val="004D24D6"/>
    <w:rsid w:val="004F373C"/>
    <w:rsid w:val="00506C7C"/>
    <w:rsid w:val="00515EEA"/>
    <w:rsid w:val="005215F4"/>
    <w:rsid w:val="00570104"/>
    <w:rsid w:val="00577130"/>
    <w:rsid w:val="00596F4E"/>
    <w:rsid w:val="005C766E"/>
    <w:rsid w:val="005D144E"/>
    <w:rsid w:val="005F12BD"/>
    <w:rsid w:val="006112B9"/>
    <w:rsid w:val="006151A8"/>
    <w:rsid w:val="00616BD8"/>
    <w:rsid w:val="00633E8F"/>
    <w:rsid w:val="00637DE2"/>
    <w:rsid w:val="00660F77"/>
    <w:rsid w:val="00695685"/>
    <w:rsid w:val="006B4E53"/>
    <w:rsid w:val="006C7A14"/>
    <w:rsid w:val="00701AA6"/>
    <w:rsid w:val="00713055"/>
    <w:rsid w:val="007231C4"/>
    <w:rsid w:val="00734758"/>
    <w:rsid w:val="00754134"/>
    <w:rsid w:val="007722CE"/>
    <w:rsid w:val="00772BE2"/>
    <w:rsid w:val="0078740E"/>
    <w:rsid w:val="007A1210"/>
    <w:rsid w:val="007A5C5A"/>
    <w:rsid w:val="007B150A"/>
    <w:rsid w:val="007B6839"/>
    <w:rsid w:val="007C3B9E"/>
    <w:rsid w:val="0080652B"/>
    <w:rsid w:val="00814621"/>
    <w:rsid w:val="00861573"/>
    <w:rsid w:val="00881E71"/>
    <w:rsid w:val="008E3CC2"/>
    <w:rsid w:val="008E6D61"/>
    <w:rsid w:val="008F18C3"/>
    <w:rsid w:val="008F319F"/>
    <w:rsid w:val="009155EC"/>
    <w:rsid w:val="00930BEE"/>
    <w:rsid w:val="00942E9D"/>
    <w:rsid w:val="00972DB9"/>
    <w:rsid w:val="009801BE"/>
    <w:rsid w:val="009C613B"/>
    <w:rsid w:val="009D5E82"/>
    <w:rsid w:val="009E285A"/>
    <w:rsid w:val="00A179F4"/>
    <w:rsid w:val="00A216BA"/>
    <w:rsid w:val="00A31D3F"/>
    <w:rsid w:val="00A4347D"/>
    <w:rsid w:val="00A4489A"/>
    <w:rsid w:val="00A54226"/>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16B2C"/>
    <w:rsid w:val="00D2761A"/>
    <w:rsid w:val="00D377E6"/>
    <w:rsid w:val="00D54E29"/>
    <w:rsid w:val="00D65910"/>
    <w:rsid w:val="00D700F5"/>
    <w:rsid w:val="00D86EDB"/>
    <w:rsid w:val="00DA19A2"/>
    <w:rsid w:val="00DB72EC"/>
    <w:rsid w:val="00DD7DE5"/>
    <w:rsid w:val="00E14D0B"/>
    <w:rsid w:val="00E1524F"/>
    <w:rsid w:val="00E21DFB"/>
    <w:rsid w:val="00E463D8"/>
    <w:rsid w:val="00E477AE"/>
    <w:rsid w:val="00E54F2F"/>
    <w:rsid w:val="00E56DA0"/>
    <w:rsid w:val="00E70361"/>
    <w:rsid w:val="00E70F51"/>
    <w:rsid w:val="00E76BB7"/>
    <w:rsid w:val="00E94589"/>
    <w:rsid w:val="00EA2F84"/>
    <w:rsid w:val="00EA587B"/>
    <w:rsid w:val="00EC01E4"/>
    <w:rsid w:val="00EC56FA"/>
    <w:rsid w:val="00ED0C51"/>
    <w:rsid w:val="00ED0C67"/>
    <w:rsid w:val="00F25A75"/>
    <w:rsid w:val="00F5288F"/>
    <w:rsid w:val="00F5501E"/>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9</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181</cp:revision>
  <cp:lastPrinted>2019-08-02T06:39:00Z</cp:lastPrinted>
  <dcterms:created xsi:type="dcterms:W3CDTF">2020-12-09T17:30:00Z</dcterms:created>
  <dcterms:modified xsi:type="dcterms:W3CDTF">2020-12-15T22:58:00Z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