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EE5C2B">
      <w:pPr>
        <w:numPr>
          <w:ilvl w:val="0"/>
          <w:numId w:val="5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 xml:space="preserve">Additional included </w:t>
      </w:r>
      <w:proofErr w:type="gramStart"/>
      <w:r w:rsidRPr="00EE5C2B">
        <w:rPr>
          <w:rFonts w:ascii="Corbel" w:hAnsi="Corbel"/>
          <w:sz w:val="26"/>
          <w:szCs w:val="26"/>
        </w:rPr>
        <w:t>services:</w:t>
      </w:r>
      <w:r w:rsidRPr="00EE5C2B">
        <w:rPr>
          <w:rFonts w:ascii="Corbel" w:hAnsi="Corbel"/>
          <w:sz w:val="26"/>
          <w:szCs w:val="26"/>
          <w:highlight w:val="yellow"/>
        </w:rPr>
        <w:t>{</w:t>
      </w:r>
      <w:proofErr w:type="gramEnd"/>
      <w:r w:rsidRPr="00EE5C2B">
        <w:rPr>
          <w:rFonts w:ascii="Corbel" w:hAnsi="Corbel"/>
          <w:sz w:val="26"/>
          <w:szCs w:val="26"/>
          <w:highlight w:val="yellow"/>
        </w:rPr>
        <w:t>#newHireExport}</w:t>
      </w:r>
      <w:r w:rsidRPr="00EE5C2B">
        <w:rPr>
          <w:rFonts w:ascii="Corbel" w:hAnsi="Corbel"/>
          <w:sz w:val="26"/>
          <w:szCs w:val="26"/>
        </w:rPr>
        <w:t> </w:t>
      </w:r>
    </w:p>
    <w:p w14:paraId="04A4474E" w14:textId="77777777" w:rsidR="00A20A7F" w:rsidRPr="00A20A7F" w:rsidRDefault="00A20A7F" w:rsidP="00EE5C2B">
      <w:pPr>
        <w:numPr>
          <w:ilvl w:val="0"/>
          <w:numId w:val="63"/>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16788B90" w:rsidR="00A20A7F" w:rsidRPr="00EE5C2B" w:rsidRDefault="00A20A7F" w:rsidP="00EE5C2B">
      <w:pPr>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EE5C2B">
      <w:pPr>
        <w:numPr>
          <w:ilvl w:val="0"/>
          <w:numId w:val="72"/>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EE5C2B">
      <w:pPr>
        <w:numPr>
          <w:ilvl w:val="0"/>
          <w:numId w:val="76"/>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sidRPr="004D2B64">
        <w:rPr>
          <w:rFonts w:ascii="Corbel" w:hAnsi="Corbel"/>
          <w:b/>
          <w:bCs/>
          <w:color w:val="0095A5"/>
          <w:sz w:val="26"/>
          <w:szCs w:val="26"/>
        </w:rPr>
        <w:t>{</w:t>
      </w:r>
      <w:proofErr w:type="spellStart"/>
      <w:r w:rsidRPr="004D2B64">
        <w:rPr>
          <w:rFonts w:ascii="Corbel" w:hAnsi="Corbel"/>
          <w:b/>
          <w:bCs/>
          <w:color w:val="0095A5"/>
          <w:sz w:val="26"/>
          <w:szCs w:val="26"/>
        </w:rPr>
        <w:t>npeCount</w:t>
      </w:r>
      <w:proofErr w:type="spellEnd"/>
      <w:r w:rsidRPr="004D2B64">
        <w:rPr>
          <w:rFonts w:ascii="Corbel" w:hAnsi="Corbel"/>
          <w:b/>
          <w:bCs/>
          <w:color w:val="0095A5"/>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sidRPr="004D2B64">
        <w:rPr>
          <w:rFonts w:ascii="Corbel" w:hAnsi="Corbel"/>
          <w:b/>
          <w:bCs/>
          <w:color w:val="0095A5"/>
          <w:sz w:val="26"/>
          <w:szCs w:val="26"/>
        </w:rPr>
        <w:t>{</w:t>
      </w:r>
      <w:proofErr w:type="spellStart"/>
      <w:r w:rsidRPr="004D2B64">
        <w:rPr>
          <w:rFonts w:ascii="Corbel" w:hAnsi="Corbel"/>
          <w:b/>
          <w:bCs/>
          <w:color w:val="0095A5"/>
          <w:sz w:val="26"/>
          <w:szCs w:val="26"/>
        </w:rPr>
        <w:t>oscpCount</w:t>
      </w:r>
      <w:proofErr w:type="spellEnd"/>
      <w:r w:rsidRPr="004D2B64">
        <w:rPr>
          <w:rFonts w:ascii="Corbel" w:hAnsi="Corbel"/>
          <w:b/>
          <w:bCs/>
          <w:color w:val="0095A5"/>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B654C14"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F1F819E" w14:textId="77777777" w:rsidR="006649D4" w:rsidRPr="006649D4"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6DEA580A"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Pr>
          <w:rFonts w:ascii="Corbel" w:hAnsi="Corbel"/>
          <w:sz w:val="26"/>
          <w:szCs w:val="26"/>
          <w:highlight w:val="yellow"/>
        </w:rPr>
        <w: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Pr>
          <w:rFonts w:ascii="Corbel" w:hAnsi="Corbel"/>
          <w:sz w:val="26"/>
          <w:szCs w:val="26"/>
          <w:highlight w:val="yellow"/>
        </w:rPr>
        <w: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lastRenderedPageBreak/>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Pr>
          <w:rFonts w:ascii="Corbel" w:hAnsi="Corbel"/>
          <w:sz w:val="26"/>
          <w:szCs w:val="26"/>
          <w:highlight w:val="yellow"/>
        </w:rPr>
        <w: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FF21BF">
        <w:trPr>
          <w:trHeight w:val="1725"/>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691A">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w:t>
      </w:r>
      <w:r w:rsidR="00FF21BF">
        <w:rPr>
          <w:rFonts w:ascii="Corbel" w:hAnsi="Corbel"/>
          <w:sz w:val="26"/>
          <w:szCs w:val="26"/>
          <w:highlight w:val="yellow"/>
        </w:rPr>
        <w: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w:t>
      </w:r>
      <w:r>
        <w:rPr>
          <w:rFonts w:ascii="Corbel" w:eastAsia="Corbel" w:hAnsi="Corbel" w:cs="Corbel"/>
          <w:b/>
          <w:bCs/>
          <w:color w:val="0095A5"/>
          <w:sz w:val="26"/>
          <w:szCs w:val="26"/>
        </w:rPr>
        <w:t>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w:t>
      </w:r>
      <w:r w:rsidRPr="00742CD9">
        <w:rPr>
          <w:rFonts w:ascii="Corbel" w:hAnsi="Corbel"/>
          <w:sz w:val="26"/>
          <w:szCs w:val="26"/>
        </w:rPr>
        <w:t>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8363" w14:textId="77777777" w:rsidR="00E5618C" w:rsidRDefault="00E5618C">
      <w:pPr>
        <w:spacing w:after="0" w:line="240" w:lineRule="auto"/>
      </w:pPr>
      <w:r>
        <w:separator/>
      </w:r>
    </w:p>
  </w:endnote>
  <w:endnote w:type="continuationSeparator" w:id="0">
    <w:p w14:paraId="2015EFE5" w14:textId="77777777" w:rsidR="00E5618C" w:rsidRDefault="00E5618C">
      <w:pPr>
        <w:spacing w:after="0" w:line="240" w:lineRule="auto"/>
      </w:pPr>
      <w:r>
        <w:continuationSeparator/>
      </w:r>
    </w:p>
  </w:endnote>
  <w:endnote w:type="continuationNotice" w:id="1">
    <w:p w14:paraId="2E63D469" w14:textId="77777777" w:rsidR="00E5618C" w:rsidRDefault="00E56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E23C" w14:textId="77777777" w:rsidR="00E5618C" w:rsidRDefault="00E5618C">
      <w:pPr>
        <w:spacing w:after="0" w:line="240" w:lineRule="auto"/>
      </w:pPr>
      <w:r>
        <w:separator/>
      </w:r>
    </w:p>
  </w:footnote>
  <w:footnote w:type="continuationSeparator" w:id="0">
    <w:p w14:paraId="62B1930E" w14:textId="77777777" w:rsidR="00E5618C" w:rsidRDefault="00E5618C">
      <w:pPr>
        <w:spacing w:after="0" w:line="240" w:lineRule="auto"/>
      </w:pPr>
      <w:r>
        <w:continuationSeparator/>
      </w:r>
    </w:p>
  </w:footnote>
  <w:footnote w:type="continuationNotice" w:id="1">
    <w:p w14:paraId="70B36EC2" w14:textId="77777777" w:rsidR="00E5618C" w:rsidRDefault="00E561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43AF"/>
    <w:rsid w:val="000C7AB1"/>
    <w:rsid w:val="0010645B"/>
    <w:rsid w:val="001203A1"/>
    <w:rsid w:val="00126A09"/>
    <w:rsid w:val="00186EFA"/>
    <w:rsid w:val="00191FAB"/>
    <w:rsid w:val="00193B9C"/>
    <w:rsid w:val="001C0883"/>
    <w:rsid w:val="001E31E9"/>
    <w:rsid w:val="00204CDC"/>
    <w:rsid w:val="00231F45"/>
    <w:rsid w:val="00232EF3"/>
    <w:rsid w:val="00250231"/>
    <w:rsid w:val="00256682"/>
    <w:rsid w:val="00275A71"/>
    <w:rsid w:val="00276D3E"/>
    <w:rsid w:val="002771F1"/>
    <w:rsid w:val="002945BC"/>
    <w:rsid w:val="002A51B2"/>
    <w:rsid w:val="002B50E9"/>
    <w:rsid w:val="002D30D2"/>
    <w:rsid w:val="002E729E"/>
    <w:rsid w:val="0031018B"/>
    <w:rsid w:val="0031369C"/>
    <w:rsid w:val="003168C1"/>
    <w:rsid w:val="003542A5"/>
    <w:rsid w:val="00367F6A"/>
    <w:rsid w:val="0037302E"/>
    <w:rsid w:val="00373DE0"/>
    <w:rsid w:val="00381222"/>
    <w:rsid w:val="00392D89"/>
    <w:rsid w:val="0039467D"/>
    <w:rsid w:val="003A195C"/>
    <w:rsid w:val="003B4EA1"/>
    <w:rsid w:val="003D4B02"/>
    <w:rsid w:val="003E69E8"/>
    <w:rsid w:val="003F1C3F"/>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C2D7D"/>
    <w:rsid w:val="005F7380"/>
    <w:rsid w:val="00605F6A"/>
    <w:rsid w:val="0060767B"/>
    <w:rsid w:val="00615325"/>
    <w:rsid w:val="006162AB"/>
    <w:rsid w:val="00637E7B"/>
    <w:rsid w:val="00644264"/>
    <w:rsid w:val="00645716"/>
    <w:rsid w:val="0065145A"/>
    <w:rsid w:val="006520FA"/>
    <w:rsid w:val="006649D4"/>
    <w:rsid w:val="006A2E20"/>
    <w:rsid w:val="006B69F1"/>
    <w:rsid w:val="006C06CF"/>
    <w:rsid w:val="006C325F"/>
    <w:rsid w:val="006D0B03"/>
    <w:rsid w:val="006E22F3"/>
    <w:rsid w:val="006F0505"/>
    <w:rsid w:val="007364FB"/>
    <w:rsid w:val="00742CD9"/>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614"/>
    <w:rsid w:val="00B25B97"/>
    <w:rsid w:val="00B30E19"/>
    <w:rsid w:val="00B40E80"/>
    <w:rsid w:val="00B57749"/>
    <w:rsid w:val="00B64EA2"/>
    <w:rsid w:val="00B94092"/>
    <w:rsid w:val="00BA0759"/>
    <w:rsid w:val="00BB1219"/>
    <w:rsid w:val="00BC0FC2"/>
    <w:rsid w:val="00BC7B3F"/>
    <w:rsid w:val="00BD2246"/>
    <w:rsid w:val="00BD2F50"/>
    <w:rsid w:val="00C020E6"/>
    <w:rsid w:val="00C11E1D"/>
    <w:rsid w:val="00C20909"/>
    <w:rsid w:val="00C47788"/>
    <w:rsid w:val="00CB1455"/>
    <w:rsid w:val="00CF4F75"/>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28F1"/>
    <w:rsid w:val="00EB4665"/>
    <w:rsid w:val="00EE3128"/>
    <w:rsid w:val="00EE5C2B"/>
    <w:rsid w:val="00EF2870"/>
    <w:rsid w:val="00EF4893"/>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D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63</Pages>
  <Words>12345</Words>
  <Characters>70369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334</cp:revision>
  <cp:lastPrinted>2019-08-02T06:39:00Z</cp:lastPrinted>
  <dcterms:created xsi:type="dcterms:W3CDTF">2020-12-09T17:30:00Z</dcterms:created>
  <dcterms:modified xsi:type="dcterms:W3CDTF">2023-08-04T22:30:00Z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