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AD0" w:rsidRPr="004F1AD0" w:rsidRDefault="004F1AD0" w:rsidP="004F1AD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F1AD0">
        <w:rPr>
          <w:rFonts w:ascii="Times New Roman" w:hAnsi="Times New Roman" w:cs="Times New Roman"/>
          <w:sz w:val="28"/>
          <w:szCs w:val="24"/>
        </w:rPr>
        <w:t>Федеральное государственное бюджетное образовательное учреждение высшего образования</w:t>
      </w:r>
      <w:r w:rsidRPr="004F1AD0">
        <w:rPr>
          <w:rFonts w:ascii="Times New Roman" w:hAnsi="Times New Roman" w:cs="Times New Roman"/>
          <w:sz w:val="28"/>
          <w:szCs w:val="24"/>
        </w:rPr>
        <w:br/>
        <w:t>«Самарский государственный медицинский университет»</w:t>
      </w:r>
      <w:r w:rsidRPr="004F1AD0">
        <w:rPr>
          <w:rFonts w:ascii="Times New Roman" w:hAnsi="Times New Roman" w:cs="Times New Roman"/>
          <w:sz w:val="28"/>
          <w:szCs w:val="24"/>
        </w:rPr>
        <w:br/>
        <w:t>Министерства здравоохранения Российской Федерации</w:t>
      </w:r>
      <w:r w:rsidRPr="004F1AD0">
        <w:rPr>
          <w:rFonts w:ascii="Times New Roman" w:hAnsi="Times New Roman" w:cs="Times New Roman"/>
          <w:sz w:val="28"/>
          <w:szCs w:val="24"/>
        </w:rPr>
        <w:br/>
        <w:t xml:space="preserve">(ФГБОУ ВО </w:t>
      </w:r>
      <w:proofErr w:type="spellStart"/>
      <w:r w:rsidRPr="004F1AD0">
        <w:rPr>
          <w:rFonts w:ascii="Times New Roman" w:hAnsi="Times New Roman" w:cs="Times New Roman"/>
          <w:sz w:val="28"/>
          <w:szCs w:val="24"/>
        </w:rPr>
        <w:t>СамГМУ</w:t>
      </w:r>
      <w:proofErr w:type="spellEnd"/>
      <w:r w:rsidRPr="004F1AD0">
        <w:rPr>
          <w:rFonts w:ascii="Times New Roman" w:hAnsi="Times New Roman" w:cs="Times New Roman"/>
          <w:sz w:val="28"/>
          <w:szCs w:val="24"/>
        </w:rPr>
        <w:t xml:space="preserve"> Минздрава России)</w:t>
      </w: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F1AD0">
        <w:rPr>
          <w:rFonts w:ascii="Times New Roman" w:hAnsi="Times New Roman" w:cs="Times New Roman"/>
          <w:sz w:val="28"/>
          <w:szCs w:val="24"/>
        </w:rPr>
        <w:t>кафедра медицинской физики, математики и информатики</w:t>
      </w: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F1AD0">
        <w:rPr>
          <w:rFonts w:ascii="Times New Roman" w:hAnsi="Times New Roman" w:cs="Times New Roman"/>
          <w:bCs/>
          <w:sz w:val="28"/>
          <w:szCs w:val="24"/>
        </w:rPr>
        <w:t>ЛАБОРАТОРНАЯ РАБОТА</w:t>
      </w: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4F1AD0">
        <w:rPr>
          <w:rFonts w:ascii="Times New Roman" w:hAnsi="Times New Roman" w:cs="Times New Roman"/>
          <w:bCs/>
          <w:sz w:val="28"/>
          <w:szCs w:val="24"/>
        </w:rPr>
        <w:t xml:space="preserve">на тему: </w:t>
      </w:r>
      <w:r w:rsidRPr="004F1AD0">
        <w:rPr>
          <w:rFonts w:ascii="Times New Roman" w:hAnsi="Times New Roman" w:cs="Times New Roman"/>
          <w:sz w:val="28"/>
          <w:szCs w:val="24"/>
        </w:rPr>
        <w:t>Семантическая интеграция информации</w:t>
      </w: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076"/>
      </w:tblGrid>
      <w:tr w:rsidR="004F1AD0" w:rsidRPr="004F1AD0" w:rsidTr="000A7C00">
        <w:tc>
          <w:tcPr>
            <w:tcW w:w="2268" w:type="dxa"/>
            <w:hideMark/>
          </w:tcPr>
          <w:p w:rsidR="004F1AD0" w:rsidRPr="004F1AD0" w:rsidRDefault="004F1AD0" w:rsidP="000A7C0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4F1AD0">
              <w:rPr>
                <w:rFonts w:ascii="Times New Roman" w:hAnsi="Times New Roman" w:cs="Times New Roman"/>
                <w:sz w:val="28"/>
                <w:szCs w:val="24"/>
              </w:rPr>
              <w:t>Обучающийся:</w:t>
            </w:r>
          </w:p>
        </w:tc>
        <w:tc>
          <w:tcPr>
            <w:tcW w:w="7076" w:type="dxa"/>
            <w:hideMark/>
          </w:tcPr>
          <w:p w:rsidR="004F1AD0" w:rsidRPr="004F1AD0" w:rsidRDefault="004F1AD0" w:rsidP="000A7C0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4F1AD0">
              <w:rPr>
                <w:rFonts w:ascii="Times New Roman" w:hAnsi="Times New Roman" w:cs="Times New Roman"/>
                <w:sz w:val="28"/>
                <w:szCs w:val="24"/>
              </w:rPr>
              <w:t>Марченко Алексей Леонидович, группа МК-41</w:t>
            </w:r>
          </w:p>
          <w:p w:rsidR="004F1AD0" w:rsidRPr="004F1AD0" w:rsidRDefault="004F1AD0" w:rsidP="000A7C0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4F1AD0" w:rsidRPr="004F1AD0" w:rsidTr="000A7C00">
        <w:tc>
          <w:tcPr>
            <w:tcW w:w="2268" w:type="dxa"/>
          </w:tcPr>
          <w:p w:rsidR="004F1AD0" w:rsidRPr="004F1AD0" w:rsidRDefault="004F1AD0" w:rsidP="000A7C0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4F1AD0">
              <w:rPr>
                <w:rFonts w:ascii="Times New Roman" w:hAnsi="Times New Roman" w:cs="Times New Roman"/>
                <w:sz w:val="28"/>
                <w:szCs w:val="24"/>
              </w:rPr>
              <w:t>Преподаватель</w:t>
            </w:r>
            <w:r w:rsidRPr="004F1AD0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:</w:t>
            </w:r>
          </w:p>
        </w:tc>
        <w:tc>
          <w:tcPr>
            <w:tcW w:w="7076" w:type="dxa"/>
          </w:tcPr>
          <w:p w:rsidR="004F1AD0" w:rsidRPr="004F1AD0" w:rsidRDefault="004F1AD0" w:rsidP="000A7C0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F1AD0">
              <w:rPr>
                <w:rFonts w:ascii="Times New Roman" w:hAnsi="Times New Roman" w:cs="Times New Roman"/>
                <w:sz w:val="28"/>
                <w:szCs w:val="24"/>
              </w:rPr>
              <w:t>Коробкова</w:t>
            </w:r>
            <w:proofErr w:type="spellEnd"/>
            <w:r w:rsidRPr="004F1AD0">
              <w:rPr>
                <w:rFonts w:ascii="Times New Roman" w:hAnsi="Times New Roman" w:cs="Times New Roman"/>
                <w:sz w:val="28"/>
                <w:szCs w:val="24"/>
              </w:rPr>
              <w:t xml:space="preserve"> Тамара Александровна</w:t>
            </w:r>
          </w:p>
        </w:tc>
      </w:tr>
    </w:tbl>
    <w:p w:rsidR="004F1AD0" w:rsidRPr="004F1AD0" w:rsidRDefault="004F1AD0" w:rsidP="004F1AD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F1AD0" w:rsidRPr="004F1AD0" w:rsidRDefault="004F1AD0" w:rsidP="004F1AD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F1AD0">
        <w:rPr>
          <w:rFonts w:ascii="Times New Roman" w:hAnsi="Times New Roman" w:cs="Times New Roman"/>
          <w:sz w:val="28"/>
          <w:szCs w:val="24"/>
        </w:rPr>
        <w:t>Самара</w:t>
      </w:r>
    </w:p>
    <w:p w:rsidR="00AD2110" w:rsidRPr="004F1AD0" w:rsidRDefault="004F1AD0" w:rsidP="004F1AD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F1AD0">
        <w:rPr>
          <w:rFonts w:ascii="Times New Roman" w:hAnsi="Times New Roman" w:cs="Times New Roman"/>
          <w:sz w:val="28"/>
          <w:szCs w:val="24"/>
        </w:rPr>
        <w:t>2026</w:t>
      </w:r>
      <w:r w:rsidRPr="004F1AD0">
        <w:rPr>
          <w:rFonts w:ascii="Times New Roman" w:hAnsi="Times New Roman" w:cs="Times New Roman"/>
          <w:sz w:val="28"/>
          <w:szCs w:val="24"/>
        </w:rPr>
        <w:br w:type="page"/>
      </w:r>
    </w:p>
    <w:p w:rsidR="00AD2110" w:rsidRPr="004F1AD0" w:rsidRDefault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lastRenderedPageBreak/>
        <w:t xml:space="preserve">1. Цель и задачи работы </w:t>
      </w:r>
    </w:p>
    <w:p w:rsidR="00AD2110" w:rsidRPr="004F1AD0" w:rsidRDefault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1.1. Основная цель</w:t>
      </w:r>
    </w:p>
    <w:p w:rsidR="00AD2110" w:rsidRPr="004F1AD0" w:rsidRDefault="00AD2110" w:rsidP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Освоить на практике принципы семантической интеграции разнородных медицинских данных для построения целостных клинических профилей пациентов и формирования персонализированных терапевтических рекомендаций в условиях цифровой медицины. </w:t>
      </w:r>
    </w:p>
    <w:p w:rsidR="00AD2110" w:rsidRPr="004F1AD0" w:rsidRDefault="00AD2110" w:rsidP="00AD2110">
      <w:pPr>
        <w:rPr>
          <w:rFonts w:ascii="Times New Roman" w:hAnsi="Times New Roman" w:cs="Times New Roman"/>
          <w:sz w:val="24"/>
          <w:szCs w:val="24"/>
        </w:rPr>
      </w:pPr>
    </w:p>
    <w:p w:rsidR="00AD2110" w:rsidRPr="004F1AD0" w:rsidRDefault="00AD2110" w:rsidP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1.2. Конкретные задачи </w:t>
      </w:r>
    </w:p>
    <w:p w:rsidR="00AD2110" w:rsidRPr="004F1AD0" w:rsidRDefault="00AD2110" w:rsidP="00AD21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Проанализировать структуру и семантику данных из разнородных источников.</w:t>
      </w:r>
    </w:p>
    <w:p w:rsidR="00AD2110" w:rsidRPr="004F1AD0" w:rsidRDefault="00AD2110" w:rsidP="00AD21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Разработать и применить систему семантического сопоставления терминов и единиц измерения. </w:t>
      </w:r>
    </w:p>
    <w:p w:rsidR="00AD2110" w:rsidRPr="004F1AD0" w:rsidRDefault="00AD2110" w:rsidP="00AD21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Создать интегрированную модель данных для трех пациентов с сахарным диабетом 2 типа. </w:t>
      </w:r>
    </w:p>
    <w:p w:rsidR="00AD2110" w:rsidRPr="004F1AD0" w:rsidRDefault="00AD2110" w:rsidP="00AD21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Провести анализ временных рядов и выявить клинически значимые паттерны.</w:t>
      </w:r>
    </w:p>
    <w:p w:rsidR="00AD2110" w:rsidRPr="004F1AD0" w:rsidRDefault="00AD2110" w:rsidP="00AD21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Сформулировать персонализированные клинические рекомендации на основе интегрированных данных. </w:t>
      </w:r>
    </w:p>
    <w:p w:rsidR="005006D2" w:rsidRPr="004F1AD0" w:rsidRDefault="00AD2110" w:rsidP="005006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Оценить качество интеграции и предложить улучшения.</w:t>
      </w:r>
    </w:p>
    <w:p w:rsidR="005006D2" w:rsidRPr="004F1AD0" w:rsidRDefault="005006D2" w:rsidP="005006D2">
      <w:pPr>
        <w:shd w:val="clear" w:color="auto" w:fill="FFFFFF"/>
        <w:spacing w:before="360" w:after="180" w:line="420" w:lineRule="atLeast"/>
        <w:outlineLvl w:val="1"/>
        <w:rPr>
          <w:rFonts w:ascii="Times New Roman" w:hAnsi="Times New Roman" w:cs="Times New Roman"/>
          <w:sz w:val="24"/>
          <w:szCs w:val="24"/>
          <w:lang w:eastAsia="ru-RU"/>
        </w:rPr>
      </w:pPr>
      <w:r w:rsidRPr="004F1AD0">
        <w:rPr>
          <w:rFonts w:ascii="Times New Roman" w:hAnsi="Times New Roman" w:cs="Times New Roman"/>
          <w:sz w:val="24"/>
          <w:szCs w:val="24"/>
          <w:lang w:eastAsia="ru-RU"/>
        </w:rPr>
        <w:t>2. МЕТОДОЛОГИЯ</w:t>
      </w:r>
    </w:p>
    <w:p w:rsidR="005006D2" w:rsidRPr="004F1AD0" w:rsidRDefault="005006D2" w:rsidP="005006D2">
      <w:pPr>
        <w:shd w:val="clear" w:color="auto" w:fill="FFFFFF"/>
        <w:spacing w:before="300" w:after="120" w:line="420" w:lineRule="atLeast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 w:rsidRPr="004F1AD0">
        <w:rPr>
          <w:rFonts w:ascii="Times New Roman" w:hAnsi="Times New Roman" w:cs="Times New Roman"/>
          <w:sz w:val="24"/>
          <w:szCs w:val="24"/>
          <w:lang w:eastAsia="ru-RU"/>
        </w:rPr>
        <w:t>Описание источников данных</w:t>
      </w:r>
    </w:p>
    <w:p w:rsidR="005006D2" w:rsidRPr="004F1AD0" w:rsidRDefault="005006D2" w:rsidP="005006D2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использовано 11 источников данных, различающихся по формату, структуре и семантике:</w:t>
      </w:r>
    </w:p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825"/>
        <w:gridCol w:w="1659"/>
        <w:gridCol w:w="1597"/>
        <w:gridCol w:w="2595"/>
      </w:tblGrid>
      <w:tr w:rsidR="005006D2" w:rsidRPr="004F1AD0" w:rsidTr="005006D2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Пациент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EHR_System_1.csv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 (запятая)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записи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Электронная карта: диагнозы, терапия, BMI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EHR_System_2.csv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 (точка с запятой)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Электронная карта: диагнозы, вес/рост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Pharmacy_Database.csv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 (запятая)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записей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Аптечная выдача: препараты, дозы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lastRenderedPageBreak/>
              <w:t>PGx_Results.txt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пациента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Фармакогенетика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генотипы, фенотипы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Lab_Results_All.csv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записей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Лабораторные анализы (GLU, HBA1C)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Biomarkers_Research.csv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 (ISO-даты)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записи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Биомаркеры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лептин,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адипонектин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CRP, IL-6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Microbiome_Data.csv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записи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Микробиом</w:t>
            </w:r>
            <w:proofErr w:type="spellEnd"/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CGM-датчик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299 записей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Непрерывный мониторинг глюкозы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BP-датчик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 записи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Домашний мониторинг АД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Шагомер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 запись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Ежедневная активность</w:t>
            </w:r>
          </w:p>
        </w:tc>
      </w:tr>
      <w:tr w:rsidR="005006D2" w:rsidRPr="004F1AD0" w:rsidTr="005006D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Пульсоксиметр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записей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06D2" w:rsidRPr="004F1AD0" w:rsidRDefault="005006D2" w:rsidP="005006D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сна</w:t>
            </w:r>
          </w:p>
        </w:tc>
      </w:tr>
    </w:tbl>
    <w:p w:rsidR="005006D2" w:rsidRPr="004F1AD0" w:rsidRDefault="005006D2" w:rsidP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3E42B4" wp14:editId="5DA26BA2">
            <wp:extent cx="5940425" cy="30124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D2" w:rsidRPr="004F1AD0" w:rsidRDefault="005006D2" w:rsidP="00AD2110">
      <w:pPr>
        <w:rPr>
          <w:rFonts w:ascii="Times New Roman" w:hAnsi="Times New Roman" w:cs="Times New Roman"/>
          <w:sz w:val="24"/>
          <w:szCs w:val="24"/>
        </w:rPr>
      </w:pPr>
    </w:p>
    <w:p w:rsidR="005006D2" w:rsidRPr="004F1AD0" w:rsidRDefault="005006D2" w:rsidP="005006D2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Методы семантического сопоставления</w:t>
      </w:r>
    </w:p>
    <w:p w:rsidR="005006D2" w:rsidRPr="004F1AD0" w:rsidRDefault="005006D2" w:rsidP="005006D2">
      <w:pPr>
        <w:pStyle w:val="a4"/>
        <w:shd w:val="clear" w:color="auto" w:fill="FFFFFF"/>
        <w:spacing w:before="120" w:beforeAutospacing="0" w:after="120" w:afterAutospacing="0" w:line="420" w:lineRule="atLeast"/>
      </w:pPr>
      <w:r w:rsidRPr="004F1AD0">
        <w:t>Сопоставление выполнено на трёх уровнях:</w:t>
      </w:r>
    </w:p>
    <w:p w:rsidR="005006D2" w:rsidRPr="004F1AD0" w:rsidRDefault="005006D2" w:rsidP="005006D2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</w:pPr>
      <w:r w:rsidRPr="004F1AD0">
        <w:rPr>
          <w:rStyle w:val="a5"/>
        </w:rPr>
        <w:t>Синтаксическая стандартизация</w:t>
      </w:r>
      <w:r w:rsidRPr="004F1AD0">
        <w:t> — приведение всех дат к единому формату, нормализация разделителей CSV, очистка строк с лишними полями (</w:t>
      </w:r>
      <w:r w:rsidRPr="004F1AD0">
        <w:rPr>
          <w:rStyle w:val="HTML"/>
          <w:rFonts w:ascii="Times New Roman" w:hAnsi="Times New Roman" w:cs="Times New Roman"/>
          <w:sz w:val="24"/>
          <w:szCs w:val="24"/>
          <w:shd w:val="clear" w:color="auto" w:fill="FCFCFC"/>
        </w:rPr>
        <w:t>S-1006</w:t>
      </w:r>
      <w:r w:rsidRPr="004F1AD0">
        <w:t>).</w:t>
      </w:r>
    </w:p>
    <w:p w:rsidR="005006D2" w:rsidRPr="004F1AD0" w:rsidRDefault="005006D2" w:rsidP="005006D2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</w:pPr>
      <w:r w:rsidRPr="004F1AD0">
        <w:rPr>
          <w:rStyle w:val="a5"/>
        </w:rPr>
        <w:t>Структурная интеграция</w:t>
      </w:r>
      <w:r w:rsidRPr="004F1AD0">
        <w:t> — объединение записей из разнородных источников в единую модель </w:t>
      </w:r>
      <w:r w:rsidRPr="004F1AD0">
        <w:rPr>
          <w:rStyle w:val="HTML"/>
          <w:rFonts w:ascii="Times New Roman" w:hAnsi="Times New Roman" w:cs="Times New Roman"/>
          <w:sz w:val="24"/>
          <w:szCs w:val="24"/>
          <w:shd w:val="clear" w:color="auto" w:fill="FCFCFC"/>
        </w:rPr>
        <w:t>master_model.xlsx</w:t>
      </w:r>
      <w:r w:rsidRPr="004F1AD0">
        <w:t> с двумя листами: «Пациенты» (статические данные) и «Временная шкала» (хронология событий).</w:t>
      </w:r>
    </w:p>
    <w:p w:rsidR="005006D2" w:rsidRPr="004F1AD0" w:rsidRDefault="005006D2" w:rsidP="005006D2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</w:pPr>
      <w:r w:rsidRPr="004F1AD0">
        <w:rPr>
          <w:rStyle w:val="a5"/>
        </w:rPr>
        <w:t>Семантическое сопоставление терминов</w:t>
      </w:r>
      <w:r w:rsidRPr="004F1AD0">
        <w:t>:</w:t>
      </w:r>
    </w:p>
    <w:p w:rsidR="005006D2" w:rsidRPr="004F1AD0" w:rsidRDefault="005006D2" w:rsidP="00011E02">
      <w:pPr>
        <w:numPr>
          <w:ilvl w:val="1"/>
          <w:numId w:val="13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Лекарства: «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Метформин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» (EHR-1), «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Metformini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» (EHR-2), «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Метформин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» (аптека) → единое МНН «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Метформин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»</w:t>
      </w:r>
    </w:p>
    <w:p w:rsidR="005006D2" w:rsidRPr="004F1AD0" w:rsidRDefault="00011E02" w:rsidP="00011E02">
      <w:pPr>
        <w:numPr>
          <w:ilvl w:val="1"/>
          <w:numId w:val="13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Диагнозы: E11.9</w:t>
      </w:r>
      <w:r w:rsidR="005006D2" w:rsidRPr="004F1AD0">
        <w:rPr>
          <w:rFonts w:ascii="Times New Roman" w:hAnsi="Times New Roman" w:cs="Times New Roman"/>
          <w:sz w:val="24"/>
          <w:szCs w:val="24"/>
        </w:rPr>
        <w:t xml:space="preserve"> (МКБ-10) и «</w:t>
      </w:r>
      <w:proofErr w:type="spellStart"/>
      <w:r w:rsidR="005006D2" w:rsidRPr="004F1AD0">
        <w:rPr>
          <w:rFonts w:ascii="Times New Roman" w:hAnsi="Times New Roman" w:cs="Times New Roman"/>
          <w:sz w:val="24"/>
          <w:szCs w:val="24"/>
        </w:rPr>
        <w:t>Diabe</w:t>
      </w:r>
      <w:r w:rsidRPr="004F1AD0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mellitus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typus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II» (текст) -</w:t>
      </w:r>
      <w:r w:rsidR="005006D2" w:rsidRPr="004F1AD0">
        <w:rPr>
          <w:rFonts w:ascii="Times New Roman" w:hAnsi="Times New Roman" w:cs="Times New Roman"/>
          <w:sz w:val="24"/>
          <w:szCs w:val="24"/>
        </w:rPr>
        <w:t xml:space="preserve"> код E11.9</w:t>
      </w:r>
    </w:p>
    <w:p w:rsidR="005006D2" w:rsidRPr="004F1AD0" w:rsidRDefault="005006D2" w:rsidP="00011E02">
      <w:pPr>
        <w:numPr>
          <w:ilvl w:val="1"/>
          <w:numId w:val="13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Единицы: глюкоза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mg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ммоль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/л через коэффициент 0,0555</w:t>
      </w:r>
    </w:p>
    <w:p w:rsidR="005006D2" w:rsidRPr="004F1AD0" w:rsidRDefault="005006D2" w:rsidP="00011E02">
      <w:pPr>
        <w:numPr>
          <w:ilvl w:val="1"/>
          <w:numId w:val="13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Глоссарий терминов сохранён в </w:t>
      </w:r>
      <w:r w:rsidRPr="004F1AD0"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CFCFC"/>
        </w:rPr>
        <w:t>glossary.xlsx</w:t>
      </w:r>
      <w:r w:rsidRPr="004F1AD0">
        <w:rPr>
          <w:rFonts w:ascii="Times New Roman" w:hAnsi="Times New Roman" w:cs="Times New Roman"/>
          <w:sz w:val="24"/>
          <w:szCs w:val="24"/>
        </w:rPr>
        <w:t> (3 листа: лабораторные исследования, МКБ-10, лекарственные препараты)</w:t>
      </w:r>
    </w:p>
    <w:p w:rsidR="005006D2" w:rsidRPr="004F1AD0" w:rsidRDefault="005006D2" w:rsidP="00AD2110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011E02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Формулы расчётов</w:t>
      </w:r>
    </w:p>
    <w:p w:rsidR="00AD2110" w:rsidRPr="004F1AD0" w:rsidRDefault="00011E02" w:rsidP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54912A" wp14:editId="72B27D62">
            <wp:extent cx="5191850" cy="411537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E02" w:rsidRPr="004F1AD0" w:rsidRDefault="00011E02" w:rsidP="00011E02">
      <w:pPr>
        <w:pStyle w:val="a4"/>
        <w:shd w:val="clear" w:color="auto" w:fill="FFFFFF"/>
        <w:spacing w:before="120" w:beforeAutospacing="0" w:after="120" w:afterAutospacing="0" w:line="420" w:lineRule="atLeast"/>
      </w:pPr>
      <w:r w:rsidRPr="004F1AD0">
        <w:rPr>
          <w:rStyle w:val="a5"/>
        </w:rPr>
        <w:t>Индекс метаболического контроля</w:t>
      </w:r>
      <w:r w:rsidRPr="004F1AD0">
        <w:t> — комплексный показатель, учитывающий отклонение HbA1c от цели (7,0%) и TIR от цели (70%).</w:t>
      </w:r>
    </w:p>
    <w:p w:rsidR="00011E02" w:rsidRPr="004F1AD0" w:rsidRDefault="00011E02" w:rsidP="00011E02">
      <w:pPr>
        <w:pStyle w:val="a4"/>
        <w:shd w:val="clear" w:color="auto" w:fill="FFFFFF"/>
        <w:spacing w:before="120" w:beforeAutospacing="0" w:after="120" w:afterAutospacing="0" w:line="420" w:lineRule="atLeast"/>
      </w:pPr>
      <w:r w:rsidRPr="004F1AD0">
        <w:rPr>
          <w:rStyle w:val="a5"/>
        </w:rPr>
        <w:t>Риск ССО</w:t>
      </w:r>
      <w:r w:rsidRPr="004F1AD0">
        <w:t> — интегральная оценка на основе уровней HbA1c, TIR, BMI, CRP и артериального давления.</w:t>
      </w:r>
    </w:p>
    <w:p w:rsidR="00AD2110" w:rsidRPr="004F1AD0" w:rsidRDefault="00AD2110" w:rsidP="00AD2110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Лист 1.</w:t>
      </w:r>
    </w:p>
    <w:p w:rsidR="00AD2110" w:rsidRPr="004F1AD0" w:rsidRDefault="00011E02" w:rsidP="00AD2110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025E0C" wp14:editId="3064573B">
            <wp:extent cx="5940425" cy="13182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D2" w:rsidRPr="004F1AD0" w:rsidRDefault="005006D2" w:rsidP="005006D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lastRenderedPageBreak/>
        <w:t>Лист 2.</w:t>
      </w:r>
    </w:p>
    <w:p w:rsidR="00011E02" w:rsidRPr="004F1AD0" w:rsidRDefault="00011E02" w:rsidP="00011E02">
      <w:pPr>
        <w:ind w:left="36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595A69" wp14:editId="2C332089">
            <wp:extent cx="5940425" cy="21012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E02" w:rsidRPr="004F1AD0" w:rsidRDefault="00011E02" w:rsidP="00011E02">
      <w:pPr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011E02">
      <w:pPr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Лист 3.</w:t>
      </w:r>
    </w:p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247CC0" wp14:editId="3024E5B6">
            <wp:extent cx="5940425" cy="27870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011E02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РЕЗУЛЬТАТЫ</w:t>
      </w:r>
    </w:p>
    <w:p w:rsidR="00011E02" w:rsidRPr="004F1AD0" w:rsidRDefault="00011E02" w:rsidP="00011E02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Анализ семантических конфликтов</w:t>
      </w:r>
    </w:p>
    <w:p w:rsidR="00011E02" w:rsidRPr="004F1AD0" w:rsidRDefault="00011E02" w:rsidP="00011E02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выявлено </w:t>
      </w: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семантических конфликтов</w:t>
      </w:r>
      <w:r w:rsidRPr="004F1A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2017"/>
        <w:gridCol w:w="2307"/>
        <w:gridCol w:w="2190"/>
        <w:gridCol w:w="3342"/>
      </w:tblGrid>
      <w:tr w:rsidR="00011E02" w:rsidRPr="004F1AD0" w:rsidTr="00011E02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конфликта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Единицы измерения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S-1006: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mmol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Ref_Low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70,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Ref_High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100 (mg/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dL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Уточнить у LAB-C; значение 6,9 — в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mg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dL</w:t>
            </w:r>
            <w:proofErr w:type="spellEnd"/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BMI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EHR-1: PT-001, 28.7 (измерено)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EHR-2: PT-002, расчёт 94/1,78² = 29,67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измеренные данные EHR</w:t>
            </w:r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Названия лекарств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EHR-1: «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Метформин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500 мг»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EHR-2: «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Metformini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500»; аптека: «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Метформин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Единое МНН: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Метформин</w:t>
            </w:r>
            <w:proofErr w:type="spellEnd"/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Коды диагнозов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EHR-1: E11, E11.9 (МКБ-10)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EHR-2: «Diabetes mellitus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typus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II» (</w:t>
            </w: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МКБ-10: E11.9</w:t>
            </w:r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 даты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DD.MM.YYYY (Labs, EHR-1, Pharmacy)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YYYY-MM-DD (EHR-2, Biomarkers)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 8601: YYYY-MM-DD</w:t>
            </w:r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Разделитель CSV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Запятая (EHR-1,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Labs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Pharmacy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с запятой (EHR-2)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Автоопределение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CFCFC"/>
                <w:lang w:eastAsia="ru-RU"/>
              </w:rPr>
              <w:t>sep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 чтении</w:t>
            </w:r>
          </w:p>
        </w:tc>
      </w:tr>
      <w:tr w:rsidR="00011E02" w:rsidRPr="004F1AD0" w:rsidTr="00011E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лаборатории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PT-001: GLU </w:t>
            </w: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LAB-A (S-1001)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PT-001: GLU </w:t>
            </w: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LAB-B (S-1003)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011E02" w:rsidRPr="004F1AD0" w:rsidRDefault="00011E02" w:rsidP="00011E02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Учитывать методические различия</w:t>
            </w:r>
          </w:p>
        </w:tc>
      </w:tr>
    </w:tbl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954A4A" wp14:editId="44E71038">
            <wp:extent cx="5940425" cy="19246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011E02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3.2. Интегрированные клинические профили</w:t>
      </w:r>
    </w:p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11E02" w:rsidRPr="004F1AD0" w:rsidRDefault="00011E02" w:rsidP="00AA2C89">
      <w:pPr>
        <w:ind w:left="36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B76D8D" wp14:editId="42A58860">
            <wp:extent cx="5940425" cy="4819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E02" w:rsidRPr="004F1AD0" w:rsidRDefault="00011E02" w:rsidP="005006D2">
      <w:pPr>
        <w:ind w:left="36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2968ADD" wp14:editId="7BE26788">
            <wp:extent cx="5940425" cy="66014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89" w:rsidRPr="004F1AD0" w:rsidRDefault="00AA2C89" w:rsidP="005006D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3.3. Графики и диаграммы</w:t>
      </w:r>
    </w:p>
    <w:p w:rsidR="00AA2C89" w:rsidRPr="004F1AD0" w:rsidRDefault="00AA2C89" w:rsidP="00AA2C89">
      <w:pPr>
        <w:pStyle w:val="a4"/>
        <w:shd w:val="clear" w:color="auto" w:fill="FFFFFF"/>
        <w:spacing w:before="120" w:beforeAutospacing="0" w:after="120" w:afterAutospacing="0" w:line="420" w:lineRule="atLeast"/>
      </w:pPr>
      <w:r w:rsidRPr="004F1AD0">
        <w:t>В работе построено 6 графиков:</w:t>
      </w:r>
    </w:p>
    <w:p w:rsidR="00AA2C89" w:rsidRPr="004F1AD0" w:rsidRDefault="00AA2C89" w:rsidP="00AA2C89">
      <w:pPr>
        <w:pStyle w:val="a4"/>
        <w:shd w:val="clear" w:color="auto" w:fill="FFFFFF"/>
        <w:spacing w:before="120" w:beforeAutospacing="0" w:after="120" w:afterAutospacing="0" w:line="420" w:lineRule="atLeast"/>
      </w:pPr>
    </w:p>
    <w:p w:rsidR="00AA2C89" w:rsidRPr="004F1AD0" w:rsidRDefault="00AA2C89" w:rsidP="00AA2C89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Профиль глюкозы PT-001</w:t>
      </w:r>
      <w:r w:rsidRPr="004F1AD0">
        <w:rPr>
          <w:rFonts w:ascii="Times New Roman" w:hAnsi="Times New Roman" w:cs="Times New Roman"/>
          <w:sz w:val="24"/>
          <w:szCs w:val="24"/>
        </w:rPr>
        <w:t> - суточный график CGM с целевым диапазоном 70–180 мг/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дл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, отметкой эпизодов гипогликемии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9790" cy="2969895"/>
            <wp:effectExtent l="0" t="0" r="3810" b="1905"/>
            <wp:docPr id="12" name="Рисунок 12" descr="C:\Users\Aleksey\AppData\Local\Microsoft\Windows\INetCache\Content.Word\Glucose_Profile_Pati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ksey\AppData\Local\Microsoft\Windows\INetCache\Content.Word\Glucose_Profile_Patient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Ambulatory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Glucose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Profile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 - стандартизированный профиль: медиана, IQR и перцентили по часам суток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4F1AD0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31.55pt">
            <v:imagedata r:id="rId14" o:title="AGP_Profile_Patient1"/>
          </v:shape>
        </w:pic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Суточный профиль АД PT-002</w:t>
      </w:r>
      <w:r w:rsidRPr="004F1AD0">
        <w:rPr>
          <w:rFonts w:ascii="Times New Roman" w:hAnsi="Times New Roman" w:cs="Times New Roman"/>
          <w:sz w:val="24"/>
          <w:szCs w:val="24"/>
        </w:rPr>
        <w:t> - систола, диастола и ЧСС с цветовой маркировкой времени суток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4F1AD0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lastRenderedPageBreak/>
        <w:pict>
          <v:shape id="_x0000_i1026" type="#_x0000_t75" style="width:467.15pt;height:231.55pt">
            <v:imagedata r:id="rId15" o:title="BP_Profile_Patient2"/>
          </v:shape>
        </w:pic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Активность и сон PT-003</w:t>
      </w:r>
      <w:r w:rsidRPr="004F1AD0">
        <w:rPr>
          <w:rFonts w:ascii="Times New Roman" w:hAnsi="Times New Roman" w:cs="Times New Roman"/>
          <w:sz w:val="24"/>
          <w:szCs w:val="24"/>
        </w:rPr>
        <w:t xml:space="preserve"> - шаги, качество сна и уровень стресса на единой оси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4F1AD0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pict>
          <v:shape id="_x0000_i1027" type="#_x0000_t75" style="width:467.15pt;height:231.55pt">
            <v:imagedata r:id="rId16" o:title="Activity_Sleep_Patient3"/>
          </v:shape>
        </w:pic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Радар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биомаркеров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 - сравнение CRP, лептина,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адипонектина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, IL-6 и HbA1c по трём пациентам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4F1AD0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lastRenderedPageBreak/>
        <w:pict>
          <v:shape id="_x0000_i1028" type="#_x0000_t75" style="width:467.7pt;height:408.95pt">
            <v:imagedata r:id="rId17" o:title="Biomarkers_Radar"/>
          </v:shape>
        </w:pic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Интегрированная временная шкала</w:t>
      </w:r>
      <w:r w:rsidRPr="004F1AD0">
        <w:rPr>
          <w:rFonts w:ascii="Times New Roman" w:hAnsi="Times New Roman" w:cs="Times New Roman"/>
          <w:sz w:val="24"/>
          <w:szCs w:val="24"/>
        </w:rPr>
        <w:t xml:space="preserve"> - все события (визиты, анализы, рецепты,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биомаркеры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) на единой оси</w:t>
      </w: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3.4. Ключевые показатели эффективности лечения</w:t>
      </w: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3.4. Ключевые показатели эффективности лечения</w:t>
      </w: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4F1AD0" w:rsidP="00AA2C89">
      <w:pPr>
        <w:pStyle w:val="a3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lastRenderedPageBreak/>
        <w:pict>
          <v:shape id="_x0000_i1029" type="#_x0000_t75" style="width:467.15pt;height:342.7pt">
            <v:imagedata r:id="rId18" o:title="Integrated_Timeline"/>
          </v:shape>
        </w:pict>
      </w: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3.4. Ключевые показатели эффективности лечения</w:t>
      </w: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6F4B8D" wp14:editId="3C44723F">
            <wp:extent cx="5940425" cy="6705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ПЕРСОНАЛИЗИРОВАННЫЕ РЕКОМЕНДАЦИИ</w:t>
      </w:r>
    </w:p>
    <w:p w:rsidR="00AA2C89" w:rsidRPr="004F1AD0" w:rsidRDefault="00AA2C89" w:rsidP="00AA2C89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PT-001 (Иванов И.И.)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5740"/>
      </w:tblGrid>
      <w:tr w:rsidR="00AA2C89" w:rsidRPr="004F1AD0" w:rsidTr="00AA2C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Снизить дозу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метформина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рассмотреть альтернативу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Генотип SLC22A1 GA → сниженный транспорт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метформина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гепатоциты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риск непредсказуемой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фармакокинетики</w:t>
            </w:r>
            <w:proofErr w:type="spellEnd"/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Продолжить мониторинг CGM, обратить внимание на ночные гипогликемии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эпизода за сутки (04:20–04:35), мин. 67 мг/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риск тяжёлой гипогликемии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Рассмотреть отмену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гликазида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коррекцию дозы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HbA1c 6,9% близок к цели, TIR 81,27% — риск избыточного контроля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Поддерживать динамику снижения BMI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BMI снизился с 28,7 до 26,8 — положительный тренд</w:t>
            </w:r>
          </w:p>
        </w:tc>
      </w:tr>
    </w:tbl>
    <w:p w:rsidR="00AA2C89" w:rsidRPr="004F1AD0" w:rsidRDefault="00AA2C89" w:rsidP="00AA2C89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PT-002 (Петров П.П.)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6194"/>
      </w:tblGrid>
      <w:tr w:rsidR="00AA2C89" w:rsidRPr="004F1AD0" w:rsidTr="00AA2C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назначать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сульфонилмочевины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Генотип CYP2C9 AA → медленный метаболизм, риск гипогликемии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Усилить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антигипертензивную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терапию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Среднее АД 149/92 мм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рт.ст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— выше целевых &lt;140/90; вечернее АД выше утреннего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Определить HbA1c лабораторно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 нет — невозможно оценить метаболический контроль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Коррекция массы тела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BMI 29,67 — I степень ожирения; лептин 34,2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нг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/мл —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лептинорезистентность</w:t>
            </w:r>
            <w:proofErr w:type="spellEnd"/>
          </w:p>
        </w:tc>
      </w:tr>
    </w:tbl>
    <w:p w:rsidR="00AA2C89" w:rsidRPr="004F1AD0" w:rsidRDefault="00AA2C89" w:rsidP="00AA2C89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F1A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PT-003 (Сидорова С.С.)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5434"/>
      </w:tblGrid>
      <w:tr w:rsidR="00AA2C89" w:rsidRPr="004F1AD0" w:rsidTr="00AA2C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Рекомендация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Поддерживать текущую схему терапии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HbA1c 7,1%, генотип KCNJ11 TT — хороший ответ на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сульфонилмочевины</w:t>
            </w:r>
            <w:proofErr w:type="spellEnd"/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сульфонилмочевины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ухудшении контроля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KCNJ11 TT предрасполагает к хорошему ответу на препараты этой группы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Поддерживать физическую активность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Средние 9 000–10 300 шагов/день, все недели соответствуют норме ВОЗ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Продолжить </w:t>
            </w:r>
            <w:proofErr w:type="spellStart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аторвастатин</w:t>
            </w:r>
            <w:proofErr w:type="spellEnd"/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20 мг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 w:rsidP="00AA2C8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1A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Профилактика ССО при СД2</w:t>
            </w:r>
          </w:p>
        </w:tc>
      </w:tr>
    </w:tbl>
    <w:p w:rsidR="00AA2C89" w:rsidRPr="004F1AD0" w:rsidRDefault="00AA2C89" w:rsidP="00AA2C8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2"/>
        <w:shd w:val="clear" w:color="auto" w:fill="FFFFFF"/>
        <w:spacing w:before="360" w:beforeAutospacing="0" w:after="18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5. ИССЛЕДОВАТЕЛЬСКАЯ ЧАСТЬ</w:t>
      </w: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Выдвинутые гипотезы</w:t>
      </w:r>
    </w:p>
    <w:p w:rsidR="00AA2C89" w:rsidRPr="004F1AD0" w:rsidRDefault="00AA2C89" w:rsidP="00AA2C89">
      <w:pPr>
        <w:pStyle w:val="a4"/>
        <w:shd w:val="clear" w:color="auto" w:fill="FFFFFF"/>
        <w:spacing w:before="120" w:beforeAutospacing="0" w:after="120" w:afterAutospacing="0" w:line="420" w:lineRule="atLeast"/>
      </w:pPr>
      <w:r w:rsidRPr="004F1AD0">
        <w:rPr>
          <w:rStyle w:val="a5"/>
        </w:rPr>
        <w:t>Гипотеза 1.</w:t>
      </w:r>
      <w:r w:rsidRPr="004F1AD0">
        <w:t xml:space="preserve"> Пациенты с генотипом SLC22A1 GA (сниженный транспорт </w:t>
      </w:r>
      <w:proofErr w:type="spellStart"/>
      <w:r w:rsidRPr="004F1AD0">
        <w:t>метформина</w:t>
      </w:r>
      <w:proofErr w:type="spellEnd"/>
      <w:r w:rsidRPr="004F1AD0">
        <w:t>) имеют более высокую гликемическую вариабельность (CV) и большее число гипогликемий по данным CGM.</w:t>
      </w:r>
    </w:p>
    <w:p w:rsidR="00AA2C89" w:rsidRPr="004F1AD0" w:rsidRDefault="00AA2C89" w:rsidP="00AA2C89">
      <w:pPr>
        <w:pStyle w:val="a4"/>
        <w:shd w:val="clear" w:color="auto" w:fill="FFFFFF"/>
        <w:spacing w:before="120" w:beforeAutospacing="0" w:after="120" w:afterAutospacing="0" w:line="420" w:lineRule="atLeast"/>
      </w:pP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Результат:</w:t>
      </w:r>
      <w:r w:rsidRPr="004F1AD0">
        <w:rPr>
          <w:rFonts w:ascii="Times New Roman" w:hAnsi="Times New Roman" w:cs="Times New Roman"/>
          <w:sz w:val="24"/>
          <w:szCs w:val="24"/>
        </w:rPr>
        <w:t> Подтверждается на основе 1 пациента (PT-001): CV = 34,81%, 4 эпизода гипогликемии за 1 сутки. Требуется расширение выборки.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a4"/>
        <w:shd w:val="clear" w:color="auto" w:fill="FFFFFF"/>
        <w:spacing w:before="120" w:beforeAutospacing="0" w:after="120" w:afterAutospacing="0" w:line="420" w:lineRule="atLeast"/>
      </w:pPr>
      <w:r w:rsidRPr="004F1AD0">
        <w:rPr>
          <w:rStyle w:val="a5"/>
        </w:rPr>
        <w:t>Гипотеза 2.</w:t>
      </w:r>
      <w:r w:rsidRPr="004F1AD0">
        <w:t xml:space="preserve"> Уровень лептина положительно коррелирует с HbA1c, а </w:t>
      </w:r>
      <w:proofErr w:type="spellStart"/>
      <w:r w:rsidRPr="004F1AD0">
        <w:t>адипонектина</w:t>
      </w:r>
      <w:proofErr w:type="spellEnd"/>
      <w:r w:rsidRPr="004F1AD0">
        <w:t xml:space="preserve"> — отрицательно, что отражает связь </w:t>
      </w:r>
      <w:proofErr w:type="spellStart"/>
      <w:r w:rsidRPr="004F1AD0">
        <w:t>инсулинорезистентности</w:t>
      </w:r>
      <w:proofErr w:type="spellEnd"/>
      <w:r w:rsidRPr="004F1AD0">
        <w:t xml:space="preserve"> с метаболическим контролем.</w:t>
      </w:r>
    </w:p>
    <w:p w:rsidR="00AA2C89" w:rsidRPr="004F1AD0" w:rsidRDefault="00AA2C89" w:rsidP="00AA2C89">
      <w:pPr>
        <w:pStyle w:val="a4"/>
        <w:shd w:val="clear" w:color="auto" w:fill="FFFFFF"/>
        <w:spacing w:before="120" w:beforeAutospacing="0" w:after="120" w:afterAutospacing="0" w:line="420" w:lineRule="atLeast"/>
      </w:pP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Результат:</w:t>
      </w:r>
      <w:r w:rsidRPr="004F1AD0">
        <w:rPr>
          <w:rFonts w:ascii="Times New Roman" w:hAnsi="Times New Roman" w:cs="Times New Roman"/>
          <w:sz w:val="24"/>
          <w:szCs w:val="24"/>
        </w:rPr>
        <w:t> Недостаточно данных — HbA1c доступен только для 2 из 3 пациентов. Для корреляционного анализа (n ≥ 3) требуется дополнительная выборка. Тенденция требует подтверждения.</w:t>
      </w: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lastRenderedPageBreak/>
        <w:t>Результаты корреляционного анализа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1396"/>
        <w:gridCol w:w="5102"/>
      </w:tblGrid>
      <w:tr w:rsidR="00AA2C89" w:rsidRPr="004F1AD0" w:rsidTr="00AA2C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Пара показателей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Интерпретация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Шаги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 Качество сна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0,090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Связь практически отсутствует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Шаги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 Уровень стресса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−0,361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Умеренная отрицательная: больше шагов — меньше стресс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Стресс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 Качество сна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−0,798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Сильная отрицательная: выше стресс — хуже сон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HbA1c vs CRP / Leptin / Adiponectin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Недостаточно данных (n = 2)</w:t>
            </w:r>
          </w:p>
        </w:tc>
      </w:tr>
    </w:tbl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Предложения по улучшению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Внедрение единых кодов лабораторных исследований (LOINC) вместо локальных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TestCode</w:t>
      </w:r>
      <w:proofErr w:type="spellEnd"/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Единый формат дат (ISO 8601: YYYY-MM-DD) во всех источниках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Единый разделитель CSV (запятая) во всех файлах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Использование МНН для всех лекарственных препаратов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Автоматическая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единиц измерения при вводе (контроль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-диапазона)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ETL-скрипты для автоматического преобразования единиц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>Автоматическое сопоставление терминов через справочник </w:t>
      </w:r>
      <w:r w:rsidRPr="004F1AD0"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CFCFC"/>
        </w:rPr>
        <w:t>glossary.xlsx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Интерактивный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для врача: временная шкала + CGM + АД + терапия</w:t>
      </w:r>
    </w:p>
    <w:p w:rsidR="00AA2C89" w:rsidRPr="004F1AD0" w:rsidRDefault="00AA2C89" w:rsidP="00AA2C89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1AD0">
        <w:rPr>
          <w:rFonts w:ascii="Times New Roman" w:hAnsi="Times New Roman" w:cs="Times New Roman"/>
          <w:sz w:val="24"/>
          <w:szCs w:val="24"/>
        </w:rPr>
        <w:t xml:space="preserve">Цветовая индикация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out-of-range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значений в </w:t>
      </w:r>
      <w:r w:rsidRPr="004F1AD0"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CFCFC"/>
        </w:rPr>
        <w:t>master_model.xlsx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AA2C89" w:rsidRPr="004F1AD0" w:rsidRDefault="00AA2C89" w:rsidP="00AA2C89">
      <w:pPr>
        <w:pStyle w:val="2"/>
        <w:shd w:val="clear" w:color="auto" w:fill="FFFFFF"/>
        <w:spacing w:before="360" w:beforeAutospacing="0" w:after="18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7. ПРИЛОЖЕНИЯ</w:t>
      </w: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Список скриншотов для вставки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847"/>
        <w:gridCol w:w="4095"/>
      </w:tblGrid>
      <w:tr w:rsidR="00AA2C89" w:rsidRPr="004F1AD0" w:rsidTr="00AA2C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Приложение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Что показать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Data_Sources_Analysis.xlsx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Полная таблица анализа 11 источников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glossary.xlsx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Все 3 листа (лабораторные, МКБ-10, лекарства)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Discrepancies_Report.xlsx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Таблица из 7 конфликтов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master_model.xlsx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Лист «Пациенты» (3 строки) + лист «Временная шкала» (41 строка)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Integral_Indicators.xlsx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Индексы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комплаентности</w:t>
            </w:r>
            <w:proofErr w:type="spellEnd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, метаболического контроля, риска ССО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Clinical_Recommendations.xlsx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10 рекомендаций с обоснованием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Research_Hypotheses.xlsx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2 гипотезы со статусом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Improvement_Proposals.xlsx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9 предложений по категориям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Glucose_Profile_Patient1.png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График глюкозы PT-001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AGP_Profile_Patient1.png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Ambulatory</w:t>
            </w:r>
            <w:proofErr w:type="spellEnd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Glucose</w:t>
            </w:r>
            <w:proofErr w:type="spellEnd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proofErr w:type="spellEnd"/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BP_Profile_Patient2.png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Суточный профиль АД PT-002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Activity_Sleep_Patient3.png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Активность и сон PT-003</w:t>
            </w:r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Biomarkers_Radar.png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 xml:space="preserve">Радарная диаграмма </w:t>
            </w:r>
            <w:proofErr w:type="spellStart"/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биомаркеров</w:t>
            </w:r>
            <w:proofErr w:type="spellEnd"/>
          </w:p>
        </w:tc>
      </w:tr>
      <w:tr w:rsidR="00AA2C89" w:rsidRPr="004F1AD0" w:rsidTr="00AA2C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П14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FCFCFC"/>
              </w:rPr>
              <w:t>Integrated_Timeline.png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AA2C89" w:rsidRPr="004F1AD0" w:rsidRDefault="00AA2C89">
            <w:pPr>
              <w:spacing w:before="120" w:after="120" w:line="4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F1AD0">
              <w:rPr>
                <w:rFonts w:ascii="Times New Roman" w:hAnsi="Times New Roman" w:cs="Times New Roman"/>
                <w:sz w:val="24"/>
                <w:szCs w:val="24"/>
              </w:rPr>
              <w:t>Интегрированная временная шкала</w:t>
            </w:r>
          </w:p>
        </w:tc>
      </w:tr>
    </w:tbl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</w:p>
    <w:p w:rsidR="00AA2C89" w:rsidRPr="004F1AD0" w:rsidRDefault="00AA2C89" w:rsidP="00AA2C89">
      <w:pPr>
        <w:pStyle w:val="3"/>
        <w:shd w:val="clear" w:color="auto" w:fill="FFFFFF"/>
        <w:spacing w:before="300" w:beforeAutospacing="0" w:after="120" w:afterAutospacing="0" w:line="420" w:lineRule="atLeast"/>
        <w:rPr>
          <w:sz w:val="24"/>
          <w:szCs w:val="24"/>
        </w:rPr>
      </w:pPr>
      <w:r w:rsidRPr="004F1AD0">
        <w:rPr>
          <w:sz w:val="24"/>
          <w:szCs w:val="24"/>
        </w:rPr>
        <w:t>Глоссарий ключевых терминов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TIR (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Time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in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Range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>)</w:t>
      </w:r>
      <w:r w:rsidRPr="004F1AD0">
        <w:rPr>
          <w:rFonts w:ascii="Times New Roman" w:hAnsi="Times New Roman" w:cs="Times New Roman"/>
          <w:sz w:val="24"/>
          <w:szCs w:val="24"/>
        </w:rPr>
        <w:t> — процент времени, когда глюкоза находится в целевом диапазоне 70–180 мг/дл.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CV (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Coefficient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of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Variation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>)</w:t>
      </w:r>
      <w:r w:rsidRPr="004F1AD0">
        <w:rPr>
          <w:rFonts w:ascii="Times New Roman" w:hAnsi="Times New Roman" w:cs="Times New Roman"/>
          <w:sz w:val="24"/>
          <w:szCs w:val="24"/>
        </w:rPr>
        <w:t> — коэффициент вариации глюкозы; порог &lt;36% для стабильного контроля.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AGP (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Ambulatory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Glucose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AD0">
        <w:rPr>
          <w:rStyle w:val="a5"/>
          <w:rFonts w:ascii="Times New Roman" w:hAnsi="Times New Roman" w:cs="Times New Roman"/>
          <w:sz w:val="24"/>
          <w:szCs w:val="24"/>
        </w:rPr>
        <w:t>Profile</w:t>
      </w:r>
      <w:proofErr w:type="spellEnd"/>
      <w:r w:rsidRPr="004F1AD0">
        <w:rPr>
          <w:rStyle w:val="a5"/>
          <w:rFonts w:ascii="Times New Roman" w:hAnsi="Times New Roman" w:cs="Times New Roman"/>
          <w:sz w:val="24"/>
          <w:szCs w:val="24"/>
        </w:rPr>
        <w:t>)</w:t>
      </w:r>
      <w:r w:rsidRPr="004F1AD0">
        <w:rPr>
          <w:rFonts w:ascii="Times New Roman" w:hAnsi="Times New Roman" w:cs="Times New Roman"/>
          <w:sz w:val="24"/>
          <w:szCs w:val="24"/>
        </w:rPr>
        <w:t> — стандартизированный визуальный отчёт CGM.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МНН</w:t>
      </w:r>
      <w:r w:rsidRPr="004F1AD0">
        <w:rPr>
          <w:rFonts w:ascii="Times New Roman" w:hAnsi="Times New Roman" w:cs="Times New Roman"/>
          <w:sz w:val="24"/>
          <w:szCs w:val="24"/>
        </w:rPr>
        <w:t> — международное непатентованное название лекарственного препарата.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Семантический конфликт</w:t>
      </w:r>
      <w:r w:rsidRPr="004F1AD0">
        <w:rPr>
          <w:rFonts w:ascii="Times New Roman" w:hAnsi="Times New Roman" w:cs="Times New Roman"/>
          <w:sz w:val="24"/>
          <w:szCs w:val="24"/>
        </w:rPr>
        <w:t> — ситуация, когда одни и те же данные представлены по-разному в разных источниках.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SLC22A1 (OCT1)</w:t>
      </w:r>
      <w:r w:rsidRPr="004F1AD0">
        <w:rPr>
          <w:rFonts w:ascii="Times New Roman" w:hAnsi="Times New Roman" w:cs="Times New Roman"/>
          <w:sz w:val="24"/>
          <w:szCs w:val="24"/>
        </w:rPr>
        <w:t xml:space="preserve"> — ген, кодирующий транспортер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метформина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гепатоциты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CYP2C9</w:t>
      </w:r>
      <w:r w:rsidRPr="004F1AD0">
        <w:rPr>
          <w:rFonts w:ascii="Times New Roman" w:hAnsi="Times New Roman" w:cs="Times New Roman"/>
          <w:sz w:val="24"/>
          <w:szCs w:val="24"/>
        </w:rPr>
        <w:t xml:space="preserve"> — фермент метаболизма </w:t>
      </w:r>
      <w:proofErr w:type="spellStart"/>
      <w:r w:rsidRPr="004F1AD0">
        <w:rPr>
          <w:rFonts w:ascii="Times New Roman" w:hAnsi="Times New Roman" w:cs="Times New Roman"/>
          <w:sz w:val="24"/>
          <w:szCs w:val="24"/>
        </w:rPr>
        <w:t>сульфонилмочевин</w:t>
      </w:r>
      <w:proofErr w:type="spellEnd"/>
      <w:r w:rsidRPr="004F1AD0">
        <w:rPr>
          <w:rFonts w:ascii="Times New Roman" w:hAnsi="Times New Roman" w:cs="Times New Roman"/>
          <w:sz w:val="24"/>
          <w:szCs w:val="24"/>
        </w:rPr>
        <w:t>.</w:t>
      </w:r>
    </w:p>
    <w:p w:rsidR="00AA2C89" w:rsidRPr="004F1AD0" w:rsidRDefault="00AA2C89" w:rsidP="00AA2C8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4F1AD0">
        <w:rPr>
          <w:rStyle w:val="a5"/>
          <w:rFonts w:ascii="Times New Roman" w:hAnsi="Times New Roman" w:cs="Times New Roman"/>
          <w:sz w:val="24"/>
          <w:szCs w:val="24"/>
        </w:rPr>
        <w:t>KCNJ11</w:t>
      </w:r>
      <w:r w:rsidRPr="004F1AD0">
        <w:rPr>
          <w:rFonts w:ascii="Times New Roman" w:hAnsi="Times New Roman" w:cs="Times New Roman"/>
          <w:sz w:val="24"/>
          <w:szCs w:val="24"/>
        </w:rPr>
        <w:t> — ген, влияющий на функцию β-клеток поджелудочной железы.</w:t>
      </w:r>
    </w:p>
    <w:p w:rsidR="00AA2C89" w:rsidRPr="004F1AD0" w:rsidRDefault="00AA2C89" w:rsidP="00AA2C89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AA2C89" w:rsidRPr="004F1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25C39"/>
    <w:multiLevelType w:val="multilevel"/>
    <w:tmpl w:val="65D634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89D"/>
    <w:multiLevelType w:val="hybridMultilevel"/>
    <w:tmpl w:val="C97E8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E1271"/>
    <w:multiLevelType w:val="multilevel"/>
    <w:tmpl w:val="7792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F0D95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103732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8705265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CA65ABE"/>
    <w:multiLevelType w:val="multilevel"/>
    <w:tmpl w:val="06FC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37C18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FD8738B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236D2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7572A54"/>
    <w:multiLevelType w:val="multilevel"/>
    <w:tmpl w:val="28885E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81D50"/>
    <w:multiLevelType w:val="multilevel"/>
    <w:tmpl w:val="689A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3762E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19C1DC9"/>
    <w:multiLevelType w:val="multilevel"/>
    <w:tmpl w:val="9E663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148B"/>
    <w:multiLevelType w:val="multilevel"/>
    <w:tmpl w:val="906A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01681"/>
    <w:multiLevelType w:val="multilevel"/>
    <w:tmpl w:val="19DE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364B1"/>
    <w:multiLevelType w:val="multilevel"/>
    <w:tmpl w:val="2A80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A78D1"/>
    <w:multiLevelType w:val="multilevel"/>
    <w:tmpl w:val="9E6A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50F2A"/>
    <w:multiLevelType w:val="multilevel"/>
    <w:tmpl w:val="D58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326F9"/>
    <w:multiLevelType w:val="multilevel"/>
    <w:tmpl w:val="72209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36A231A"/>
    <w:multiLevelType w:val="multilevel"/>
    <w:tmpl w:val="B27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71339"/>
    <w:multiLevelType w:val="multilevel"/>
    <w:tmpl w:val="502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720A5"/>
    <w:multiLevelType w:val="hybridMultilevel"/>
    <w:tmpl w:val="1B80772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5533684"/>
    <w:multiLevelType w:val="multilevel"/>
    <w:tmpl w:val="674C4F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27A67"/>
    <w:multiLevelType w:val="hybridMultilevel"/>
    <w:tmpl w:val="671622C8"/>
    <w:lvl w:ilvl="0" w:tplc="995038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2"/>
  </w:num>
  <w:num w:numId="2">
    <w:abstractNumId w:val="24"/>
  </w:num>
  <w:num w:numId="3">
    <w:abstractNumId w:val="3"/>
  </w:num>
  <w:num w:numId="4">
    <w:abstractNumId w:val="7"/>
  </w:num>
  <w:num w:numId="5">
    <w:abstractNumId w:val="5"/>
  </w:num>
  <w:num w:numId="6">
    <w:abstractNumId w:val="19"/>
  </w:num>
  <w:num w:numId="7">
    <w:abstractNumId w:val="1"/>
  </w:num>
  <w:num w:numId="8">
    <w:abstractNumId w:val="8"/>
  </w:num>
  <w:num w:numId="9">
    <w:abstractNumId w:val="9"/>
  </w:num>
  <w:num w:numId="10">
    <w:abstractNumId w:val="4"/>
  </w:num>
  <w:num w:numId="11">
    <w:abstractNumId w:val="12"/>
  </w:num>
  <w:num w:numId="12">
    <w:abstractNumId w:val="15"/>
  </w:num>
  <w:num w:numId="13">
    <w:abstractNumId w:val="2"/>
  </w:num>
  <w:num w:numId="14">
    <w:abstractNumId w:val="14"/>
  </w:num>
  <w:num w:numId="15">
    <w:abstractNumId w:val="18"/>
  </w:num>
  <w:num w:numId="16">
    <w:abstractNumId w:val="20"/>
  </w:num>
  <w:num w:numId="17">
    <w:abstractNumId w:val="0"/>
  </w:num>
  <w:num w:numId="18">
    <w:abstractNumId w:val="23"/>
  </w:num>
  <w:num w:numId="19">
    <w:abstractNumId w:val="10"/>
  </w:num>
  <w:num w:numId="20">
    <w:abstractNumId w:val="16"/>
  </w:num>
  <w:num w:numId="21">
    <w:abstractNumId w:val="11"/>
  </w:num>
  <w:num w:numId="22">
    <w:abstractNumId w:val="21"/>
  </w:num>
  <w:num w:numId="23">
    <w:abstractNumId w:val="6"/>
  </w:num>
  <w:num w:numId="24">
    <w:abstractNumId w:val="17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776"/>
    <w:rsid w:val="00011E02"/>
    <w:rsid w:val="002D7776"/>
    <w:rsid w:val="004F1AD0"/>
    <w:rsid w:val="005006D2"/>
    <w:rsid w:val="00904C98"/>
    <w:rsid w:val="00AA2C89"/>
    <w:rsid w:val="00AD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352B3"/>
  <w15:chartTrackingRefBased/>
  <w15:docId w15:val="{211F161D-5510-4A77-B24F-0782C607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0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0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11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006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06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500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006D2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5006D2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11E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11E02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39"/>
    <w:rsid w:val="004F1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Aleksey</cp:lastModifiedBy>
  <cp:revision>5</cp:revision>
  <dcterms:created xsi:type="dcterms:W3CDTF">2026-09-29T05:58:00Z</dcterms:created>
  <dcterms:modified xsi:type="dcterms:W3CDTF">2026-09-29T16:37:00Z</dcterms:modified>
</cp:coreProperties>
</file>