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before="240" w:after="60" w:line="312" w:lineRule="auto"/>
        <w:jc w:val="center"/>
        <w:textAlignment w:val="baseline"/>
        <w:outlineLvl w:val="1"/>
        <w:rPr>
          <w:rFonts w:ascii="宋体" w:hAnsi="宋体" w:eastAsia="宋体" w:cs="Times New Roman"/>
          <w:b/>
          <w:bCs/>
          <w:i/>
          <w:iCs/>
          <w:kern w:val="28"/>
          <w:sz w:val="32"/>
          <w:szCs w:val="32"/>
        </w:rPr>
      </w:pPr>
      <w:r>
        <w:rPr>
          <w:rFonts w:ascii="Calibri Light" w:hAnsi="Calibri Light" w:eastAsia="宋体" w:cs="Times New Roman"/>
          <w:b/>
          <w:bCs/>
          <w:kern w:val="28"/>
          <w:sz w:val="32"/>
          <w:szCs w:val="32"/>
        </w:rPr>
        <w:tab/>
      </w: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420" w:right="720" w:firstLine="420"/>
        <w:jc w:val="center"/>
        <w:textAlignment w:val="baseline"/>
        <w:rPr>
          <w:rFonts w:ascii="宋体" w:hAnsi="宋体" w:eastAsia="宋体" w:cs="Times New Roman"/>
          <w:color w:val="000000"/>
          <w:kern w:val="0"/>
          <w:sz w:val="48"/>
          <w:szCs w:val="48"/>
        </w:rPr>
      </w:pPr>
      <w:r>
        <w:rPr>
          <w:rFonts w:hint="eastAsia" w:ascii="宋体" w:hAnsi="宋体" w:eastAsia="宋体" w:cs="Times New Roman"/>
          <w:color w:val="000000"/>
          <w:kern w:val="0"/>
          <w:sz w:val="48"/>
          <w:szCs w:val="48"/>
        </w:rPr>
        <w:t>深圳市景旺电子股份有限公司</w:t>
      </w: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420" w:right="720" w:firstLine="420"/>
        <w:jc w:val="center"/>
        <w:textAlignment w:val="baseline"/>
        <w:rPr>
          <w:rFonts w:ascii="宋体" w:hAnsi="宋体" w:eastAsia="宋体" w:cs="Times New Roman"/>
          <w:kern w:val="0"/>
          <w:sz w:val="48"/>
          <w:szCs w:val="48"/>
        </w:rPr>
      </w:pPr>
      <w:r>
        <w:rPr>
          <w:rFonts w:hint="eastAsia" w:ascii="宋体" w:hAnsi="宋体" w:eastAsia="宋体" w:cs="Times New Roman"/>
          <w:kern w:val="0"/>
          <w:sz w:val="48"/>
          <w:szCs w:val="48"/>
        </w:rPr>
        <w:t>供应商关系管理平台项目(SRM)</w:t>
      </w: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420" w:right="720" w:firstLine="420"/>
        <w:jc w:val="center"/>
        <w:textAlignment w:val="baseline"/>
        <w:rPr>
          <w:rStyle w:val="11"/>
        </w:rPr>
      </w:pPr>
      <w:r>
        <w:rPr>
          <w:rFonts w:hint="eastAsia" w:ascii="宋体" w:hAnsi="宋体" w:eastAsia="宋体" w:cs="Times New Roman"/>
          <w:kern w:val="0"/>
          <w:sz w:val="48"/>
          <w:szCs w:val="48"/>
        </w:rPr>
        <w:t>方案设计</w:t>
      </w: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756" w:leftChars="360" w:right="720" w:firstLine="4680" w:firstLineChars="1300"/>
        <w:jc w:val="left"/>
        <w:textAlignment w:val="baseline"/>
        <w:rPr>
          <w:rFonts w:ascii="宋体" w:hAnsi="宋体" w:eastAsia="宋体" w:cs="Times New Roman"/>
          <w:kern w:val="0"/>
          <w:sz w:val="36"/>
          <w:szCs w:val="36"/>
        </w:rPr>
      </w:pP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756" w:leftChars="360" w:right="720" w:firstLine="4320" w:firstLineChars="1200"/>
        <w:jc w:val="left"/>
        <w:textAlignment w:val="baseline"/>
        <w:rPr>
          <w:rFonts w:ascii="宋体" w:hAnsi="宋体" w:eastAsia="宋体" w:cs="Times New Roman"/>
          <w:kern w:val="0"/>
          <w:sz w:val="36"/>
          <w:szCs w:val="36"/>
        </w:rPr>
      </w:pPr>
      <w:r>
        <w:rPr>
          <w:rFonts w:hint="eastAsia" w:ascii="宋体" w:hAnsi="宋体" w:eastAsia="宋体" w:cs="Times New Roman"/>
          <w:kern w:val="0"/>
          <w:sz w:val="36"/>
          <w:szCs w:val="36"/>
        </w:rPr>
        <w:t>—绩效考核（一期）</w:t>
      </w: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720" w:right="720"/>
        <w:jc w:val="left"/>
        <w:textAlignment w:val="baseline"/>
        <w:rPr>
          <w:rFonts w:ascii="宋体" w:hAnsi="宋体" w:eastAsia="宋体" w:cs="Times New Roman"/>
          <w:kern w:val="0"/>
          <w:sz w:val="48"/>
          <w:szCs w:val="20"/>
        </w:rPr>
      </w:pPr>
    </w:p>
    <w:p>
      <w:pPr>
        <w:keepLines/>
        <w:widowControl/>
        <w:overflowPunct w:val="0"/>
        <w:autoSpaceDE w:val="0"/>
        <w:autoSpaceDN w:val="0"/>
        <w:adjustRightInd w:val="0"/>
        <w:spacing w:after="120"/>
        <w:ind w:left="720" w:right="720"/>
        <w:jc w:val="left"/>
        <w:textAlignment w:val="baseline"/>
        <w:rPr>
          <w:rFonts w:ascii="宋体" w:hAnsi="宋体" w:eastAsia="宋体" w:cs="Times New Roman"/>
          <w:kern w:val="0"/>
          <w:sz w:val="48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/>
        <w:ind w:left="720"/>
        <w:jc w:val="left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作者</w:t>
      </w:r>
      <w:r>
        <w:rPr>
          <w:rFonts w:ascii="宋体" w:hAnsi="宋体" w:eastAsia="宋体" w:cs="Times New Roman"/>
          <w:kern w:val="0"/>
          <w:sz w:val="20"/>
          <w:szCs w:val="20"/>
        </w:rPr>
        <w:t>:</w:t>
      </w:r>
      <w:r>
        <w:rPr>
          <w:rFonts w:ascii="宋体" w:hAnsi="宋体" w:eastAsia="宋体" w:cs="Times New Roman"/>
          <w:kern w:val="0"/>
          <w:sz w:val="20"/>
          <w:szCs w:val="20"/>
        </w:rPr>
        <w:tab/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贾浩</w:t>
      </w: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建档日期</w:t>
      </w:r>
      <w:r>
        <w:rPr>
          <w:rFonts w:ascii="宋体" w:hAnsi="宋体" w:eastAsia="宋体" w:cs="Times New Roman"/>
          <w:kern w:val="0"/>
          <w:sz w:val="20"/>
          <w:szCs w:val="20"/>
        </w:rPr>
        <w:t>:</w:t>
      </w:r>
      <w:r>
        <w:rPr>
          <w:rFonts w:ascii="宋体" w:hAnsi="宋体" w:eastAsia="宋体" w:cs="Times New Roman"/>
          <w:kern w:val="0"/>
          <w:sz w:val="20"/>
          <w:szCs w:val="20"/>
        </w:rPr>
        <w:tab/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2018-07-</w:t>
      </w:r>
      <w:r>
        <w:rPr>
          <w:rFonts w:ascii="宋体" w:hAnsi="宋体" w:eastAsia="宋体" w:cs="Times New Roman"/>
          <w:kern w:val="0"/>
          <w:sz w:val="20"/>
          <w:szCs w:val="20"/>
        </w:rPr>
        <w:t>24</w:t>
      </w:r>
    </w:p>
    <w:p>
      <w:pPr>
        <w:widowControl/>
        <w:tabs>
          <w:tab w:val="left" w:pos="4230"/>
        </w:tabs>
        <w:overflowPunct w:val="0"/>
        <w:autoSpaceDE w:val="0"/>
        <w:autoSpaceDN w:val="0"/>
        <w:adjustRightInd w:val="0"/>
        <w:spacing w:before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版本</w:t>
      </w:r>
      <w:r>
        <w:rPr>
          <w:rFonts w:ascii="宋体" w:hAnsi="宋体" w:eastAsia="宋体" w:cs="Times New Roman"/>
          <w:kern w:val="0"/>
          <w:sz w:val="20"/>
          <w:szCs w:val="20"/>
        </w:rPr>
        <w:t>:</w:t>
      </w:r>
      <w:r>
        <w:rPr>
          <w:rFonts w:ascii="宋体" w:hAnsi="宋体" w:eastAsia="宋体" w:cs="Times New Roman"/>
          <w:kern w:val="0"/>
          <w:sz w:val="20"/>
          <w:szCs w:val="20"/>
        </w:rPr>
        <w:tab/>
      </w:r>
      <w:bookmarkStart w:id="0" w:name="DocVersion"/>
      <w:r>
        <w:rPr>
          <w:rFonts w:ascii="宋体" w:hAnsi="宋体" w:eastAsia="宋体" w:cs="Times New Roman"/>
          <w:kern w:val="0"/>
          <w:sz w:val="20"/>
          <w:szCs w:val="20"/>
        </w:rPr>
        <w:t xml:space="preserve"> </w:t>
      </w:r>
      <w:bookmarkEnd w:id="0"/>
      <w:r>
        <w:rPr>
          <w:rFonts w:ascii="宋体" w:hAnsi="宋体" w:eastAsia="宋体" w:cs="Times New Roman"/>
          <w:kern w:val="0"/>
          <w:sz w:val="20"/>
          <w:szCs w:val="20"/>
        </w:rPr>
        <w:t>1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.0</w:t>
      </w:r>
    </w:p>
    <w:p>
      <w:pPr>
        <w:widowControl/>
        <w:overflowPunct w:val="0"/>
        <w:autoSpaceDE w:val="0"/>
        <w:autoSpaceDN w:val="0"/>
        <w:adjustRightInd w:val="0"/>
        <w:spacing w:before="120" w:after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overflowPunct w:val="0"/>
        <w:autoSpaceDE w:val="0"/>
        <w:autoSpaceDN w:val="0"/>
        <w:adjustRightInd w:val="0"/>
        <w:spacing w:before="120" w:after="120"/>
        <w:ind w:left="7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tabs>
          <w:tab w:val="left" w:pos="4320"/>
        </w:tabs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tabs>
          <w:tab w:val="left" w:pos="1225"/>
        </w:tabs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tabs>
          <w:tab w:val="left" w:pos="1225"/>
        </w:tabs>
        <w:adjustRightInd w:val="0"/>
        <w:textAlignment w:val="baseline"/>
        <w:rPr>
          <w:rFonts w:ascii="Courier New" w:hAnsi="Courier New" w:eastAsia="宋体" w:cs="Times New Roman"/>
          <w:kern w:val="0"/>
          <w:sz w:val="20"/>
          <w:szCs w:val="20"/>
        </w:rPr>
      </w:pPr>
    </w:p>
    <w:p>
      <w:pPr>
        <w:tabs>
          <w:tab w:val="left" w:pos="1225"/>
        </w:tabs>
        <w:adjustRightInd w:val="0"/>
        <w:textAlignment w:val="baseline"/>
        <w:rPr>
          <w:rFonts w:ascii="Courier New" w:hAnsi="Courier New" w:eastAsia="宋体" w:cs="Times New Roman"/>
          <w:kern w:val="0"/>
          <w:sz w:val="20"/>
          <w:szCs w:val="20"/>
        </w:rPr>
      </w:pPr>
    </w:p>
    <w:p>
      <w:pPr>
        <w:tabs>
          <w:tab w:val="left" w:pos="1225"/>
        </w:tabs>
        <w:adjustRightInd w:val="0"/>
        <w:textAlignment w:val="baseline"/>
        <w:rPr>
          <w:rFonts w:ascii="Courier New" w:hAnsi="Courier New" w:eastAsia="宋体" w:cs="Times New Roman"/>
          <w:kern w:val="0"/>
          <w:sz w:val="20"/>
          <w:szCs w:val="20"/>
        </w:rPr>
      </w:pPr>
    </w:p>
    <w:p>
      <w:pPr>
        <w:tabs>
          <w:tab w:val="left" w:pos="1225"/>
        </w:tabs>
        <w:adjustRightInd w:val="0"/>
        <w:textAlignment w:val="baseline"/>
        <w:rPr>
          <w:rFonts w:ascii="Courier New" w:hAnsi="Courier New" w:eastAsia="宋体" w:cs="Times New Roman"/>
          <w:kern w:val="0"/>
          <w:sz w:val="20"/>
          <w:szCs w:val="20"/>
        </w:rPr>
      </w:pPr>
    </w:p>
    <w:p>
      <w:pPr>
        <w:keepNext/>
        <w:keepLines/>
        <w:pageBreakBefore/>
        <w:widowControl/>
        <w:pBdr>
          <w:top w:val="single" w:color="auto" w:sz="24" w:space="4"/>
        </w:pBdr>
        <w:overflowPunct w:val="0"/>
        <w:autoSpaceDE w:val="0"/>
        <w:autoSpaceDN w:val="0"/>
        <w:adjustRightInd w:val="0"/>
        <w:spacing w:before="120"/>
        <w:jc w:val="left"/>
        <w:textAlignment w:val="baseline"/>
        <w:outlineLvl w:val="1"/>
        <w:rPr>
          <w:rFonts w:ascii="宋体" w:hAnsi="宋体" w:eastAsia="宋体" w:cs="Times New Roman"/>
          <w:b/>
          <w:kern w:val="0"/>
          <w:sz w:val="28"/>
          <w:szCs w:val="20"/>
        </w:rPr>
        <w:sectPr>
          <w:headerReference r:id="rId3" w:type="default"/>
          <w:footerReference r:id="rId4" w:type="default"/>
          <w:pgSz w:w="11906" w:h="16838"/>
          <w:pgMar w:top="1440" w:right="879" w:bottom="1440" w:left="1134" w:header="851" w:footer="992" w:gutter="0"/>
          <w:cols w:space="720" w:num="1"/>
          <w:docGrid w:linePitch="312" w:charSpace="0"/>
        </w:sectPr>
      </w:pPr>
    </w:p>
    <w:p>
      <w:pPr>
        <w:keepNext/>
        <w:keepLines/>
        <w:pageBreakBefore/>
        <w:widowControl/>
        <w:pBdr>
          <w:top w:val="single" w:color="auto" w:sz="24" w:space="4"/>
        </w:pBdr>
        <w:overflowPunct w:val="0"/>
        <w:autoSpaceDE w:val="0"/>
        <w:autoSpaceDN w:val="0"/>
        <w:adjustRightInd w:val="0"/>
        <w:spacing w:before="120"/>
        <w:jc w:val="left"/>
        <w:textAlignment w:val="baseline"/>
        <w:outlineLvl w:val="1"/>
        <w:rPr>
          <w:rFonts w:ascii="宋体" w:hAnsi="宋体" w:eastAsia="宋体" w:cs="Times New Roman"/>
          <w:b/>
          <w:kern w:val="0"/>
          <w:sz w:val="28"/>
          <w:szCs w:val="20"/>
        </w:rPr>
      </w:pPr>
      <w:bookmarkStart w:id="1" w:name="_Toc24189"/>
      <w:bookmarkStart w:id="2" w:name="_Toc520207925"/>
      <w:r>
        <w:rPr>
          <w:rFonts w:hint="eastAsia" w:ascii="宋体" w:hAnsi="宋体" w:eastAsia="宋体" w:cs="Times New Roman"/>
          <w:b/>
          <w:kern w:val="0"/>
          <w:sz w:val="28"/>
          <w:szCs w:val="20"/>
        </w:rPr>
        <w:t>文档控制</w:t>
      </w:r>
      <w:bookmarkEnd w:id="1"/>
      <w:bookmarkEnd w:id="2"/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3" w:name="_Toc520207926"/>
      <w:bookmarkStart w:id="4" w:name="_Toc27496"/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记录更改</w:t>
      </w:r>
      <w:bookmarkEnd w:id="3"/>
      <w:bookmarkEnd w:id="4"/>
    </w:p>
    <w:tbl>
      <w:tblPr>
        <w:tblStyle w:val="8"/>
        <w:tblW w:w="7785" w:type="dxa"/>
        <w:tblInd w:w="81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24"/>
        <w:gridCol w:w="1658"/>
        <w:gridCol w:w="709"/>
        <w:gridCol w:w="1276"/>
        <w:gridCol w:w="31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024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b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16"/>
                <w:szCs w:val="20"/>
              </w:rPr>
              <w:t>日期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b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16"/>
                <w:szCs w:val="20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b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16"/>
                <w:szCs w:val="20"/>
              </w:rPr>
              <w:t>版本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b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16"/>
                <w:szCs w:val="20"/>
              </w:rPr>
              <w:t>文档状态</w:t>
            </w:r>
          </w:p>
        </w:tc>
        <w:tc>
          <w:tcPr>
            <w:tcW w:w="3118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b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16"/>
                <w:szCs w:val="20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024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8"/>
                <w:szCs w:val="20"/>
              </w:rPr>
            </w:pPr>
          </w:p>
        </w:tc>
        <w:tc>
          <w:tcPr>
            <w:tcW w:w="165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8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8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8"/>
                <w:szCs w:val="20"/>
              </w:rPr>
            </w:pPr>
          </w:p>
        </w:tc>
        <w:tc>
          <w:tcPr>
            <w:tcW w:w="311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bookmarkStart w:id="5" w:name="OLE_LINK78"/>
            <w:bookmarkStart w:id="6" w:name="OLE_LINK77"/>
            <w:r>
              <w:rPr>
                <w:rFonts w:ascii="宋体" w:hAnsi="宋体" w:eastAsia="宋体" w:cs="Times New Roman"/>
                <w:kern w:val="0"/>
                <w:sz w:val="16"/>
                <w:szCs w:val="20"/>
              </w:rPr>
              <w:t>20</w:t>
            </w:r>
            <w:r>
              <w:rPr>
                <w:rFonts w:hint="eastAsia" w:ascii="宋体" w:hAnsi="宋体" w:eastAsia="宋体" w:cs="Times New Roman"/>
                <w:kern w:val="0"/>
                <w:sz w:val="16"/>
                <w:szCs w:val="20"/>
              </w:rPr>
              <w:t>18</w:t>
            </w:r>
            <w:r>
              <w:rPr>
                <w:rFonts w:ascii="宋体" w:hAnsi="宋体" w:eastAsia="宋体" w:cs="Times New Roman"/>
                <w:kern w:val="0"/>
                <w:sz w:val="16"/>
                <w:szCs w:val="20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 w:val="16"/>
                <w:szCs w:val="20"/>
              </w:rPr>
              <w:t>07-</w:t>
            </w:r>
            <w:r>
              <w:rPr>
                <w:rFonts w:ascii="宋体" w:hAnsi="宋体" w:eastAsia="宋体" w:cs="Times New Roman"/>
                <w:kern w:val="0"/>
                <w:sz w:val="16"/>
                <w:szCs w:val="20"/>
              </w:rPr>
              <w:t>24</w:t>
            </w: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 w:eastAsia="宋体" w:cs="Times New Roman"/>
                <w:kern w:val="0"/>
                <w:sz w:val="16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6"/>
                <w:szCs w:val="20"/>
                <w:lang w:val="en-US" w:eastAsia="zh-CN"/>
              </w:rPr>
              <w:t>贾浩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16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16"/>
                <w:szCs w:val="20"/>
              </w:rPr>
              <w:t>新建</w:t>
            </w: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bookmarkEnd w:id="5"/>
      <w:bookmarkEnd w:id="6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bookmarkStart w:id="7" w:name="OLE_LINK80"/>
            <w:bookmarkStart w:id="8" w:name="OLE_LINK79"/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bookmarkEnd w:id="7"/>
      <w:bookmarkEnd w:id="8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bookmarkStart w:id="9" w:name="OLE_LINK121"/>
            <w:bookmarkStart w:id="10" w:name="OLE_LINK120"/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bookmarkEnd w:id="9"/>
      <w:bookmarkEnd w:id="1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  <w:bookmarkStart w:id="11" w:name="OLE_LINK216"/>
            <w:bookmarkStart w:id="12" w:name="OLE_LINK217"/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84" w:hRule="atLeast"/>
        </w:trPr>
        <w:tc>
          <w:tcPr>
            <w:tcW w:w="10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16"/>
                <w:szCs w:val="20"/>
              </w:rPr>
            </w:pPr>
          </w:p>
        </w:tc>
      </w:tr>
      <w:bookmarkEnd w:id="11"/>
      <w:bookmarkEnd w:id="12"/>
    </w:tbl>
    <w:p>
      <w:pPr>
        <w:widowControl/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13" w:name="_Toc20355"/>
      <w:bookmarkStart w:id="14" w:name="_Toc520207927"/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审阅人</w:t>
      </w:r>
      <w:bookmarkEnd w:id="13"/>
      <w:bookmarkEnd w:id="14"/>
    </w:p>
    <w:tbl>
      <w:tblPr>
        <w:tblStyle w:val="8"/>
        <w:tblW w:w="959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276"/>
        <w:gridCol w:w="3544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shd w:val="clear" w:color="auto" w:fill="D9D9D9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人员</w:t>
            </w:r>
          </w:p>
        </w:tc>
        <w:tc>
          <w:tcPr>
            <w:tcW w:w="2276" w:type="dxa"/>
            <w:shd w:val="clear" w:color="auto" w:fill="D9D9D9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职务</w:t>
            </w:r>
          </w:p>
        </w:tc>
        <w:tc>
          <w:tcPr>
            <w:tcW w:w="3544" w:type="dxa"/>
            <w:shd w:val="clear" w:color="auto" w:fill="D9D9D9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签字</w:t>
            </w:r>
          </w:p>
        </w:tc>
        <w:tc>
          <w:tcPr>
            <w:tcW w:w="2551" w:type="dxa"/>
            <w:shd w:val="clear" w:color="auto" w:fill="D9D9D9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76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544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idowControl/>
              <w:tabs>
                <w:tab w:val="left" w:pos="432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left"/>
              <w:textAlignment w:val="baseline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before="120" w:after="120"/>
        <w:ind w:left="2520"/>
        <w:jc w:val="left"/>
        <w:textAlignment w:val="baseline"/>
        <w:rPr>
          <w:rFonts w:ascii="Book Antiqua" w:hAnsi="Book Antiqua" w:eastAsia="宋体" w:cs="Times New Roman"/>
          <w:kern w:val="0"/>
          <w:sz w:val="20"/>
          <w:szCs w:val="20"/>
        </w:rPr>
      </w:pPr>
    </w:p>
    <w:p>
      <w:pPr>
        <w:keepNext/>
        <w:keepLines/>
        <w:pageBreakBefore/>
        <w:widowControl/>
        <w:pBdr>
          <w:top w:val="single" w:color="auto" w:sz="24" w:space="4"/>
        </w:pBdr>
        <w:overflowPunct w:val="0"/>
        <w:autoSpaceDE w:val="0"/>
        <w:autoSpaceDN w:val="0"/>
        <w:adjustRightInd w:val="0"/>
        <w:spacing w:before="120"/>
        <w:jc w:val="center"/>
        <w:textAlignment w:val="baseline"/>
        <w:outlineLvl w:val="1"/>
        <w:rPr>
          <w:rFonts w:ascii="宋体" w:hAnsi="宋体" w:eastAsia="宋体" w:cs="Times New Roman"/>
          <w:b/>
          <w:kern w:val="0"/>
          <w:sz w:val="28"/>
          <w:szCs w:val="20"/>
        </w:rPr>
        <w:sectPr>
          <w:footerReference r:id="rId5" w:type="default"/>
          <w:pgSz w:w="11906" w:h="16838"/>
          <w:pgMar w:top="1440" w:right="879" w:bottom="1440" w:left="1134" w:header="851" w:footer="992" w:gutter="0"/>
          <w:pgNumType w:start="1"/>
          <w:cols w:space="720" w:num="1"/>
          <w:docGrid w:linePitch="312" w:charSpace="0"/>
        </w:sectPr>
      </w:pPr>
      <w:bookmarkStart w:id="15" w:name="_Toc73936496"/>
      <w:bookmarkStart w:id="16" w:name="_Toc478612975"/>
      <w:bookmarkStart w:id="17" w:name="_Toc485680780"/>
    </w:p>
    <w:bookmarkEnd w:id="15"/>
    <w:bookmarkEnd w:id="16"/>
    <w:bookmarkEnd w:id="17"/>
    <w:p>
      <w:pPr>
        <w:keepNext/>
        <w:keepLines/>
        <w:pageBreakBefore/>
        <w:widowControl/>
        <w:pBdr>
          <w:top w:val="single" w:color="auto" w:sz="24" w:space="0"/>
        </w:pBdr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outlineLvl w:val="1"/>
        <w:rPr>
          <w:rFonts w:ascii="宋体" w:hAnsi="宋体" w:eastAsia="宋体" w:cs="Times New Roman"/>
          <w:b/>
          <w:kern w:val="0"/>
          <w:sz w:val="28"/>
          <w:szCs w:val="20"/>
        </w:rPr>
      </w:pPr>
      <w:bookmarkStart w:id="18" w:name="_Toc485680792"/>
      <w:bookmarkStart w:id="19" w:name="_Toc484975321"/>
      <w:bookmarkStart w:id="20" w:name="_Toc408238917"/>
      <w:bookmarkStart w:id="21" w:name="_Toc520207933"/>
      <w:bookmarkStart w:id="22" w:name="_Toc478612977"/>
      <w:r>
        <w:rPr>
          <w:rFonts w:hint="eastAsia" w:ascii="宋体" w:hAnsi="宋体" w:eastAsia="宋体" w:cs="Times New Roman"/>
          <w:b/>
          <w:kern w:val="0"/>
          <w:sz w:val="28"/>
          <w:szCs w:val="20"/>
        </w:rPr>
        <w:t>1.</w:t>
      </w:r>
      <w:bookmarkEnd w:id="18"/>
      <w:bookmarkEnd w:id="19"/>
      <w:bookmarkEnd w:id="20"/>
      <w:bookmarkEnd w:id="21"/>
      <w:r>
        <w:rPr>
          <w:rFonts w:hint="eastAsia" w:ascii="宋体" w:hAnsi="宋体" w:eastAsia="宋体" w:cs="Times New Roman"/>
          <w:b/>
          <w:kern w:val="0"/>
          <w:sz w:val="28"/>
          <w:szCs w:val="20"/>
        </w:rPr>
        <w:t>绩效考核管理流程</w:t>
      </w:r>
    </w:p>
    <w:p>
      <w:pPr>
        <w:widowControl/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widowControl/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23" w:name="_Toc520207934"/>
      <w:r>
        <w:rPr>
          <w:rFonts w:hint="eastAsia" w:ascii="宋体" w:hAnsi="宋体" w:eastAsia="宋体" w:cs="Times New Roman"/>
          <w:b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.1 流程图</w:t>
      </w:r>
      <w:bookmarkEnd w:id="23"/>
    </w:p>
    <w:p>
      <w:pPr>
        <w:widowControl/>
        <w:overflowPunct w:val="0"/>
        <w:autoSpaceDE w:val="0"/>
        <w:autoSpaceDN w:val="0"/>
        <w:adjustRightInd w:val="0"/>
        <w:spacing w:before="120" w:after="120" w:line="360" w:lineRule="auto"/>
        <w:ind w:left="2520"/>
        <w:jc w:val="left"/>
        <w:textAlignment w:val="baseline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</w:rPr>
        <w:t>该业务适用于未来景旺电子对供应商考评管理流程</w:t>
      </w:r>
      <w:r>
        <w:rPr>
          <w:rFonts w:hint="eastAsia" w:ascii="宋体" w:hAnsi="宋体" w:eastAsia="宋体" w:cs="宋体"/>
          <w:kern w:val="0"/>
          <w:sz w:val="20"/>
          <w:szCs w:val="20"/>
        </w:rPr>
        <w:t>。</w:t>
      </w:r>
    </w:p>
    <w:p>
      <w:pPr>
        <w:widowControl/>
        <w:overflowPunct w:val="0"/>
        <w:autoSpaceDE w:val="0"/>
        <w:autoSpaceDN w:val="0"/>
        <w:adjustRightInd w:val="0"/>
        <w:spacing w:before="120" w:after="120" w:line="360" w:lineRule="auto"/>
        <w:ind w:left="2520"/>
        <w:jc w:val="left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接口自动获取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EBS的供应商绩效考核的基础数据，在SRM中进行计算并完成发布</w:t>
      </w:r>
    </w:p>
    <w:p>
      <w:pPr>
        <w:widowControl/>
        <w:overflowPunct w:val="0"/>
        <w:autoSpaceDE w:val="0"/>
        <w:autoSpaceDN w:val="0"/>
        <w:adjustRightInd w:val="0"/>
        <w:spacing w:before="120" w:after="120" w:line="360" w:lineRule="auto"/>
        <w:jc w:val="center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object>
          <v:shape id="_x0000_i1026" o:spt="75" type="#_x0000_t75" style="height:478.7pt;width:477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24" w:name="_Toc520207935"/>
      <w:r>
        <w:rPr>
          <w:rFonts w:hint="eastAsia" w:ascii="宋体" w:hAnsi="宋体" w:eastAsia="宋体" w:cs="Times New Roman"/>
          <w:b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.2 字段结构设计</w:t>
      </w:r>
      <w:bookmarkEnd w:id="24"/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1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.接口字段结构设计：</w:t>
      </w:r>
    </w:p>
    <w:p>
      <w:pPr>
        <w:adjustRightInd w:val="0"/>
        <w:ind w:firstLine="405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tbl>
      <w:tblPr>
        <w:tblStyle w:val="8"/>
        <w:tblW w:w="8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216"/>
        <w:gridCol w:w="1424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4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字段来源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逻辑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评级分组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供应商</w:t>
            </w:r>
            <w:bookmarkStart w:id="29" w:name="_GoBack"/>
            <w:bookmarkEnd w:id="29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评级分类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期间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事业部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来料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检验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批次合格率10分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制程品质问题10分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客户端品质问题10分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供方品质体系及环境物质管理符合性5分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价格25分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库存5分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账期5分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准时交货率15分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交期水平5分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水准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技术创新10分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采购接收额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4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该供应商占本组别的采购额占比</w:t>
            </w:r>
          </w:p>
        </w:tc>
        <w:tc>
          <w:tcPr>
            <w:tcW w:w="1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ind w:left="426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2.档案创建页面列表字段：</w:t>
      </w:r>
    </w:p>
    <w:tbl>
      <w:tblPr>
        <w:tblStyle w:val="8"/>
        <w:tblW w:w="89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60"/>
        <w:gridCol w:w="1266"/>
        <w:gridCol w:w="1774"/>
        <w:gridCol w:w="30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字段来源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档案状态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参考档案状态表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档案编号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年月日+流水号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档案描述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评级分组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景旺品类表，同EBS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考评模板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系统根据品类筛选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考评周期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下拉框“季度”“年度”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考评日期从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考评日期至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建档人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创建档案的用户名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建档时间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创建档案操作的时间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考评规则说明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考评说明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人工输入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ind w:firstLine="400" w:firstLineChars="2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3.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考评档案维护页面-头信息字段（同上）：</w:t>
      </w:r>
    </w:p>
    <w:p>
      <w:pPr>
        <w:adjustRightInd w:val="0"/>
        <w:ind w:firstLine="400" w:firstLineChars="20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4.考评档案维护页面-考评分明细页签字段表</w:t>
      </w:r>
    </w:p>
    <w:tbl>
      <w:tblPr>
        <w:tblStyle w:val="8"/>
        <w:tblW w:w="89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60"/>
        <w:gridCol w:w="1266"/>
        <w:gridCol w:w="1774"/>
        <w:gridCol w:w="30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字段来源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评分方式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供应商编码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事业部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评级分组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考评细项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在EBS字段表中，各模块评分为一行显示多个细项得分，SRM在接收此数据后，要分开显示，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即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每个模块评分为一行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评分标准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期间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得分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EBS接口表 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合理分值从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合理分值至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事业部采购金额占集团总采购金额比例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adjustRightInd w:val="0"/>
        <w:ind w:firstLine="400" w:firstLineChars="2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4.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考评档案维护页面-考评汇总页签字段表</w:t>
      </w:r>
    </w:p>
    <w:tbl>
      <w:tblPr>
        <w:tblStyle w:val="8"/>
        <w:tblW w:w="91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60"/>
        <w:gridCol w:w="1266"/>
        <w:gridCol w:w="1774"/>
        <w:gridCol w:w="3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字段来源</w:t>
            </w:r>
          </w:p>
        </w:tc>
        <w:tc>
          <w:tcPr>
            <w:tcW w:w="3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行号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状态如状态表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建议策略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风险等级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供应商编码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评级分组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得分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供应商月度得分=（该供应商月度细项得分之和*事业部占集团比例）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季度得分=月度得分之和/3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90-100为A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80-90为B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60-80为C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小于60为D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行业排名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该供应商在品类下供应商排名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问题反馈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系统生成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参考评分表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根本原因分析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供应商输入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改善对策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供应商输入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改善对策确认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供应商输入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12"/>
        <w:adjustRightInd w:val="0"/>
        <w:ind w:left="786" w:firstLine="0" w:firstLineChars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问题反馈字段生成规则：</w:t>
      </w:r>
    </w:p>
    <w:tbl>
      <w:tblPr>
        <w:tblStyle w:val="8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460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场景</w:t>
            </w:r>
          </w:p>
        </w:tc>
        <w:tc>
          <w:tcPr>
            <w:tcW w:w="2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来料合格率低于10分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品质：来料合格率不达标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制程中报废低于10分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品质：制程中报废超标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准时交货率小于13分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交付：准时交货率不达标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交期水平低于3分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交付：交期水平不达标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价格低于19分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价格：同类价格无优势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账期低于3分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价格：账期不达标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服务低于10分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服务：服务配合有待提升</w:t>
            </w:r>
          </w:p>
        </w:tc>
      </w:tr>
    </w:tbl>
    <w:p>
      <w:pPr>
        <w:adjustRightInd w:val="0"/>
        <w:ind w:firstLine="600" w:firstLineChars="30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5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.考评档案维护页面-供应商明细字段表</w:t>
      </w:r>
    </w:p>
    <w:tbl>
      <w:tblPr>
        <w:tblStyle w:val="8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72"/>
        <w:gridCol w:w="1134"/>
        <w:gridCol w:w="1412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字段来源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供应商代码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评级分组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ERP接口表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12"/>
        <w:adjustRightInd w:val="0"/>
        <w:ind w:left="786" w:firstLine="0" w:firstLineChars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6.考评问题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/>
        </w:rPr>
        <w:t>详情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页面与考评问题反馈页面字段结构相同，具体展示方式参考页面。</w:t>
      </w: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25" w:name="_Toc520207936"/>
      <w:r>
        <w:rPr>
          <w:rFonts w:hint="eastAsia" w:ascii="宋体" w:hAnsi="宋体" w:eastAsia="宋体" w:cs="Times New Roman"/>
          <w:b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.3 页面设计</w:t>
      </w:r>
      <w:bookmarkEnd w:id="25"/>
    </w:p>
    <w:p>
      <w:pPr>
        <w:adjustRightInd w:val="0"/>
        <w:ind w:firstLine="600" w:firstLineChars="3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1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.绩效考核档案管理创建与查询页面：</w:t>
      </w:r>
    </w:p>
    <w:p>
      <w:pPr>
        <w:adjustRightInd w:val="0"/>
        <w:ind w:firstLine="600" w:firstLineChars="30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供应商考评→考评管理→考核档案管理，页面如图</w:t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27743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点击要查询的档案编号，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/>
        </w:rPr>
        <w:t>进入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详情页面，如下图所示（参考，实际页面按字段设置）</w:t>
      </w:r>
    </w:p>
    <w:p>
      <w:pPr>
        <w:adjustRightInd w:val="0"/>
        <w:ind w:firstLine="405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2663190"/>
            <wp:effectExtent l="0" t="0" r="444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点击“新建档案”进入档案创建页面：</w:t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3306445"/>
            <wp:effectExtent l="0" t="0" r="444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“考评汇总”页签如下图</w:t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118681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“参评供应商”页签如下图</w:t>
      </w:r>
    </w:p>
    <w:p>
      <w:pPr>
        <w:adjustRightInd w:val="0"/>
        <w:ind w:firstLine="405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926465"/>
            <wp:effectExtent l="0" t="0" r="444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</w:pPr>
      <w:r>
        <w:rPr>
          <w:rFonts w:hint="eastAsia"/>
        </w:rPr>
        <w:t>在基本信息内容栏中，输入“档案描述”“考评周期”“考评分组”“考评起始日期”“考评截止日期”等内容，点击查询按钮，系统自动从EBS接口表中筛选对应明细内容，点击保存按钮：参考页面如下</w:t>
      </w:r>
    </w:p>
    <w:p>
      <w:pPr>
        <w:adjustRightInd w:val="0"/>
        <w:textAlignment w:val="baseline"/>
        <w:rPr>
          <w:rFonts w:hint="eastAsia"/>
        </w:rPr>
      </w:pP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5857240" cy="24187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4884" cy="24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点击“汇总统计按钮”对收集的明细项进行计算，在“考评分汇总页签”生成考评结果，参考如下图</w:t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894080"/>
            <wp:effectExtent l="0" t="0" r="444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点击发布，所有考核内容按照供应商维度下发给各供应商。</w:t>
      </w:r>
    </w:p>
    <w:p>
      <w:pPr>
        <w:adjustRightInd w:val="0"/>
        <w:ind w:firstLine="405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ind w:firstLine="200" w:firstLineChars="1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2.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绩效考核查询与反馈页面（供应商）：</w:t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进入路径“我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/>
        </w:rPr>
        <w:t>收到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的绩效考评通知单”进入列表页面</w:t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273177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选择要回复的档案项，点击回复，进入如下页面：</w:t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</w:pPr>
      <w:r>
        <w:drawing>
          <wp:inline distT="0" distB="0" distL="0" distR="0">
            <wp:extent cx="6282055" cy="3533775"/>
            <wp:effectExtent l="0" t="0" r="444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6282055" cy="2954655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输入根本原因分析与改善对策，点击“回复”按钮，提交回复至采购员处，该行状态变更为待品质确认。</w:t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【注】详情查看页与回复页面字段相同。</w:t>
      </w:r>
    </w:p>
    <w:p>
      <w:pPr>
        <w:adjustRightInd w:val="0"/>
        <w:ind w:firstLine="200" w:firstLineChars="1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ascii="宋体" w:hAnsi="宋体" w:eastAsia="宋体" w:cs="Times New Roman"/>
          <w:kern w:val="0"/>
          <w:sz w:val="20"/>
          <w:szCs w:val="20"/>
        </w:rPr>
        <w:t>3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.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绩效考核查询与反馈页面（采购）：</w:t>
      </w:r>
    </w:p>
    <w:p>
      <w:pPr>
        <w:adjustRightInd w:val="0"/>
        <w:ind w:firstLine="200" w:firstLineChars="1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入口：供应商考核→考评管理→改善效果确认：进入列表页面</w:t>
      </w:r>
    </w:p>
    <w:p>
      <w:pPr>
        <w:adjustRightInd w:val="0"/>
        <w:ind w:firstLine="210" w:firstLineChars="10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2733675"/>
            <wp:effectExtent l="0" t="0" r="444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ind w:firstLine="200" w:firstLineChars="10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选择要进行改善效果确认的档案项目，进入详情页面如下图</w:t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drawing>
          <wp:inline distT="0" distB="0" distL="0" distR="0">
            <wp:extent cx="6282055" cy="3726815"/>
            <wp:effectExtent l="0" t="0" r="444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282055" cy="2830195"/>
            <wp:effectExtent l="0" t="0" r="444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   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如果改善效果合格，填写“改善效果确认”栏位，点击“确认”按钮，状态变更为“已审核”</w:t>
      </w:r>
    </w:p>
    <w:p>
      <w:pPr>
        <w:adjustRightInd w:val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kern w:val="0"/>
          <w:sz w:val="20"/>
          <w:szCs w:val="20"/>
        </w:rPr>
        <w:t xml:space="preserve">     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如果改善效果不合格，点击驳回，状态变更为“待供应商回复”</w:t>
      </w:r>
    </w:p>
    <w:p>
      <w:pPr>
        <w:adjustRightInd w:val="0"/>
        <w:ind w:firstLine="405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26" w:name="_Toc520207937"/>
      <w:r>
        <w:rPr>
          <w:rFonts w:hint="eastAsia" w:ascii="宋体" w:hAnsi="宋体" w:eastAsia="宋体" w:cs="Times New Roman"/>
          <w:b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.4 逻辑说明</w:t>
      </w:r>
      <w:bookmarkEnd w:id="26"/>
    </w:p>
    <w:p>
      <w:pPr>
        <w:pStyle w:val="12"/>
        <w:adjustRightInd w:val="0"/>
        <w:ind w:left="786" w:firstLine="0" w:firstLineChars="0"/>
        <w:textAlignment w:val="baseline"/>
        <w:rPr>
          <w:rFonts w:ascii="宋体" w:hAnsi="宋体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 xml:space="preserve"> </w:t>
      </w:r>
      <w:r>
        <w:rPr>
          <w:rFonts w:ascii="宋体" w:hAnsi="宋体" w:eastAsia="宋体" w:cs="Times New Roman"/>
          <w:b/>
          <w:kern w:val="0"/>
          <w:sz w:val="20"/>
          <w:szCs w:val="20"/>
        </w:rPr>
        <w:t xml:space="preserve">  </w:t>
      </w:r>
    </w:p>
    <w:p>
      <w:pPr>
        <w:pStyle w:val="12"/>
        <w:numPr>
          <w:ilvl w:val="0"/>
          <w:numId w:val="1"/>
        </w:numPr>
        <w:adjustRightInd w:val="0"/>
        <w:ind w:firstLineChars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绩效考核档案状态表</w:t>
      </w:r>
    </w:p>
    <w:tbl>
      <w:tblPr>
        <w:tblStyle w:val="8"/>
        <w:tblW w:w="7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20"/>
        <w:gridCol w:w="4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4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新建档案，未点击发布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确认中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已发布厂商未确认回复或品质未确认改善对策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已结案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所有厂商已回复对策且品质已点击确认</w:t>
            </w:r>
          </w:p>
        </w:tc>
      </w:tr>
    </w:tbl>
    <w:p>
      <w:pPr>
        <w:adjustRightInd w:val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pStyle w:val="12"/>
        <w:numPr>
          <w:ilvl w:val="0"/>
          <w:numId w:val="1"/>
        </w:numPr>
        <w:adjustRightInd w:val="0"/>
        <w:ind w:firstLineChars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绩效考核档案行状态表：</w:t>
      </w:r>
    </w:p>
    <w:tbl>
      <w:tblPr>
        <w:tblStyle w:val="8"/>
        <w:tblW w:w="76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2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逻辑说明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</w:t>
            </w: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待供应商回复</w:t>
            </w: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点击发布后待供应商确认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待采购员确认</w:t>
            </w: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厂商回复后待采购员回复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已结案</w:t>
            </w: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采购员确认</w:t>
            </w:r>
          </w:p>
        </w:tc>
      </w:tr>
    </w:tbl>
    <w:p>
      <w:pPr>
        <w:pStyle w:val="12"/>
        <w:adjustRightInd w:val="0"/>
        <w:ind w:left="1146" w:firstLine="0" w:firstLineChars="0"/>
        <w:textAlignment w:val="baseline"/>
        <w:rPr>
          <w:rFonts w:hint="eastAsia" w:ascii="宋体" w:hAnsi="宋体" w:eastAsia="宋体" w:cs="Times New Roman"/>
          <w:kern w:val="0"/>
          <w:sz w:val="20"/>
          <w:szCs w:val="20"/>
        </w:rPr>
      </w:pPr>
    </w:p>
    <w:p>
      <w:pPr>
        <w:pStyle w:val="12"/>
        <w:numPr>
          <w:ilvl w:val="0"/>
          <w:numId w:val="1"/>
        </w:numPr>
        <w:adjustRightInd w:val="0"/>
        <w:ind w:firstLineChars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接口说明：EBS维护绩效考核明细信息，同步至接口表中，SRM定期（每月1</w:t>
      </w:r>
      <w:r>
        <w:rPr>
          <w:rFonts w:ascii="宋体" w:hAnsi="宋体" w:eastAsia="宋体" w:cs="Times New Roman"/>
          <w:kern w:val="0"/>
          <w:sz w:val="20"/>
          <w:szCs w:val="20"/>
        </w:rPr>
        <w:t>0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号）调用</w:t>
      </w:r>
      <w:r>
        <w:rPr>
          <w:rFonts w:ascii="宋体" w:hAnsi="宋体" w:eastAsia="宋体" w:cs="Times New Roman"/>
          <w:kern w:val="0"/>
          <w:sz w:val="20"/>
          <w:szCs w:val="20"/>
        </w:rPr>
        <w:t>EBS</w:t>
      </w:r>
      <w:r>
        <w:rPr>
          <w:rFonts w:hint="eastAsia" w:ascii="宋体" w:hAnsi="宋体" w:eastAsia="宋体" w:cs="Times New Roman"/>
          <w:kern w:val="0"/>
          <w:sz w:val="20"/>
          <w:szCs w:val="20"/>
        </w:rPr>
        <w:t>接口获取数据。</w:t>
      </w:r>
    </w:p>
    <w:p>
      <w:pPr>
        <w:pStyle w:val="12"/>
        <w:numPr>
          <w:ilvl w:val="0"/>
          <w:numId w:val="1"/>
        </w:numPr>
        <w:adjustRightInd w:val="0"/>
        <w:ind w:firstLineChars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考评档案按照品类生成，档案类型分为“季度”“月度”“年度”三种，</w:t>
      </w:r>
    </w:p>
    <w:p>
      <w:pPr>
        <w:pStyle w:val="12"/>
        <w:numPr>
          <w:ilvl w:val="0"/>
          <w:numId w:val="1"/>
        </w:numPr>
        <w:adjustRightInd w:val="0"/>
        <w:ind w:firstLineChars="0"/>
        <w:textAlignment w:val="baseline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一个绩效考评档案表对应多个厂商的考评结果，所以在发布时需将汇总结果按照行的维度进行展开并同步进入“供应商绩效考评问题反馈”模块中</w:t>
      </w:r>
    </w:p>
    <w:p>
      <w:pPr>
        <w:adjustRightInd w:val="0"/>
        <w:spacing w:line="360" w:lineRule="auto"/>
        <w:textAlignment w:val="baseline"/>
        <w:rPr>
          <w:rFonts w:hint="eastAsia" w:ascii="宋体" w:hAnsi="宋体" w:eastAsia="宋体" w:cs="Times New Roman"/>
          <w:b/>
          <w:kern w:val="0"/>
          <w:sz w:val="20"/>
          <w:szCs w:val="20"/>
        </w:rPr>
      </w:pPr>
    </w:p>
    <w:p>
      <w:pPr>
        <w:widowControl/>
        <w:spacing w:before="120" w:after="120"/>
        <w:ind w:left="40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      </w:t>
      </w:r>
    </w:p>
    <w:p>
      <w:pPr>
        <w:keepNext/>
        <w:keepLines/>
        <w:widowControl/>
        <w:pBdr>
          <w:top w:val="single" w:color="auto" w:sz="24" w:space="1"/>
        </w:pBdr>
        <w:overflowPunct w:val="0"/>
        <w:autoSpaceDE w:val="0"/>
        <w:autoSpaceDN w:val="0"/>
        <w:adjustRightInd w:val="0"/>
        <w:spacing w:before="120" w:after="120"/>
        <w:ind w:right="7592"/>
        <w:jc w:val="left"/>
        <w:textAlignment w:val="baseline"/>
        <w:outlineLvl w:val="2"/>
        <w:rPr>
          <w:rFonts w:ascii="宋体" w:hAnsi="宋体" w:eastAsia="宋体" w:cs="Times New Roman"/>
          <w:b/>
          <w:kern w:val="0"/>
          <w:sz w:val="20"/>
          <w:szCs w:val="20"/>
        </w:rPr>
      </w:pPr>
      <w:bookmarkStart w:id="27" w:name="_Toc498695065"/>
      <w:bookmarkStart w:id="28" w:name="_Toc520207938"/>
      <w:r>
        <w:rPr>
          <w:rFonts w:hint="eastAsia" w:ascii="宋体" w:hAnsi="宋体" w:eastAsia="宋体" w:cs="Times New Roman"/>
          <w:b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.</w:t>
      </w:r>
      <w:r>
        <w:rPr>
          <w:rFonts w:ascii="宋体" w:hAnsi="宋体" w:eastAsia="宋体" w:cs="Times New Roman"/>
          <w:b/>
          <w:kern w:val="0"/>
          <w:sz w:val="20"/>
          <w:szCs w:val="20"/>
        </w:rPr>
        <w:t>5</w:t>
      </w:r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 xml:space="preserve"> </w:t>
      </w:r>
      <w:bookmarkEnd w:id="27"/>
      <w:r>
        <w:rPr>
          <w:rFonts w:hint="eastAsia" w:ascii="宋体" w:hAnsi="宋体" w:eastAsia="宋体" w:cs="Times New Roman"/>
          <w:b/>
          <w:kern w:val="0"/>
          <w:sz w:val="20"/>
          <w:szCs w:val="20"/>
        </w:rPr>
        <w:t>按钮说明</w:t>
      </w:r>
      <w:bookmarkEnd w:id="28"/>
    </w:p>
    <w:p>
      <w:pPr>
        <w:rPr>
          <w:rFonts w:ascii="宋体" w:hAnsi="宋体" w:eastAsia="宋体" w:cs="Times New Roman"/>
          <w:sz w:val="20"/>
          <w:szCs w:val="20"/>
        </w:rPr>
      </w:pPr>
    </w:p>
    <w:p>
      <w:pPr>
        <w:pStyle w:val="12"/>
        <w:numPr>
          <w:ilvl w:val="3"/>
          <w:numId w:val="2"/>
        </w:numPr>
        <w:tabs>
          <w:tab w:val="left" w:pos="415"/>
        </w:tabs>
        <w:ind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0"/>
          <w:szCs w:val="20"/>
        </w:rPr>
        <w:t>绩效考核档案管理创建与查询页面</w:t>
      </w:r>
    </w:p>
    <w:p>
      <w:pPr>
        <w:pStyle w:val="12"/>
        <w:tabs>
          <w:tab w:val="left" w:pos="415"/>
        </w:tabs>
        <w:ind w:left="845" w:firstLine="0"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sz w:val="20"/>
          <w:szCs w:val="20"/>
        </w:rPr>
        <w:t>新建档案：创建绩效考核档案，进入绩效考核创建页面</w:t>
      </w:r>
    </w:p>
    <w:p>
      <w:pPr>
        <w:pStyle w:val="12"/>
        <w:tabs>
          <w:tab w:val="left" w:pos="415"/>
        </w:tabs>
        <w:ind w:left="845" w:firstLine="0" w:firstLineChars="0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sz w:val="20"/>
          <w:szCs w:val="20"/>
        </w:rPr>
        <w:t>删除：删除档案【注】只能删除未发布的档案项</w:t>
      </w:r>
    </w:p>
    <w:p>
      <w:pPr>
        <w:pStyle w:val="12"/>
        <w:tabs>
          <w:tab w:val="left" w:pos="415"/>
        </w:tabs>
        <w:ind w:left="845" w:firstLine="0"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</w:p>
    <w:p>
      <w:pPr>
        <w:pStyle w:val="12"/>
        <w:tabs>
          <w:tab w:val="left" w:pos="415"/>
        </w:tabs>
        <w:ind w:left="845" w:firstLine="0" w:firstLineChars="0"/>
        <w:rPr>
          <w:rFonts w:ascii="宋体" w:hAnsi="宋体" w:eastAsia="宋体" w:cs="Times New Roman"/>
          <w:sz w:val="20"/>
          <w:szCs w:val="20"/>
        </w:rPr>
      </w:pPr>
    </w:p>
    <w:p>
      <w:pPr>
        <w:pStyle w:val="12"/>
        <w:numPr>
          <w:ilvl w:val="3"/>
          <w:numId w:val="2"/>
        </w:numPr>
        <w:tabs>
          <w:tab w:val="left" w:pos="415"/>
        </w:tabs>
        <w:ind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采购确认页面：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查询：根据输入的条件匹配与之对应的明细数据，包含：明细项与供应商状态变更为“待供应商确认”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保存：保存当前内容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汇总统计：根据匹配的明细项，按照规则生成考评汇总结果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发布：将考评结果发布给供应商查看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删除：删除绩效考评档案项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操作记录：该条绩效考评项所有的历史操作记录</w:t>
      </w:r>
    </w:p>
    <w:p>
      <w:pPr>
        <w:tabs>
          <w:tab w:val="left" w:pos="415"/>
        </w:tabs>
        <w:ind w:left="425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返回：返回列表页</w:t>
      </w:r>
    </w:p>
    <w:p>
      <w:pPr>
        <w:pStyle w:val="12"/>
        <w:numPr>
          <w:ilvl w:val="3"/>
          <w:numId w:val="2"/>
        </w:numPr>
        <w:tabs>
          <w:tab w:val="left" w:pos="415"/>
        </w:tabs>
        <w:ind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绩效考评反馈页面（供应商）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导出：导出列表，格式为EXCEL档。</w:t>
      </w:r>
    </w:p>
    <w:p>
      <w:pPr>
        <w:tabs>
          <w:tab w:val="left" w:pos="415"/>
        </w:tabs>
        <w:ind w:left="425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     </w:t>
      </w:r>
      <w:r>
        <w:rPr>
          <w:rFonts w:hint="eastAsia" w:ascii="宋体" w:hAnsi="宋体" w:eastAsia="宋体" w:cs="Times New Roman"/>
          <w:sz w:val="20"/>
          <w:szCs w:val="20"/>
        </w:rPr>
        <w:t>回复：进入详情页</w:t>
      </w:r>
    </w:p>
    <w:p>
      <w:pPr>
        <w:tabs>
          <w:tab w:val="left" w:pos="415"/>
        </w:tabs>
        <w:ind w:firstLine="1100" w:firstLineChars="55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提交回复填写内容回复至采购确认，状态变为“待采购确认”</w:t>
      </w:r>
    </w:p>
    <w:p>
      <w:pPr>
        <w:pStyle w:val="12"/>
        <w:numPr>
          <w:ilvl w:val="3"/>
          <w:numId w:val="2"/>
        </w:numPr>
        <w:tabs>
          <w:tab w:val="left" w:pos="415"/>
        </w:tabs>
        <w:ind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绩效考评反馈页面（品质）：</w:t>
      </w:r>
    </w:p>
    <w:p>
      <w:pPr>
        <w:pStyle w:val="12"/>
        <w:tabs>
          <w:tab w:val="left" w:pos="415"/>
        </w:tabs>
        <w:ind w:left="845" w:firstLine="0" w:firstLineChars="0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 </w:t>
      </w:r>
      <w:r>
        <w:rPr>
          <w:rFonts w:hint="eastAsia" w:ascii="宋体" w:hAnsi="宋体" w:eastAsia="宋体" w:cs="Times New Roman"/>
          <w:sz w:val="20"/>
          <w:szCs w:val="20"/>
        </w:rPr>
        <w:t>确认：确认供应商回复的原因与对策，点击后，状态变更为“已</w:t>
      </w:r>
      <w:r>
        <w:rPr>
          <w:rFonts w:hint="eastAsia" w:ascii="宋体" w:hAnsi="宋体" w:eastAsia="宋体" w:cs="Times New Roman"/>
          <w:sz w:val="20"/>
          <w:szCs w:val="20"/>
          <w:lang w:val="en-US" w:eastAsia="zh-CN"/>
        </w:rPr>
        <w:t>结案</w:t>
      </w:r>
      <w:r>
        <w:rPr>
          <w:rFonts w:hint="eastAsia" w:ascii="宋体" w:hAnsi="宋体" w:eastAsia="宋体" w:cs="Times New Roman"/>
          <w:sz w:val="20"/>
          <w:szCs w:val="20"/>
        </w:rPr>
        <w:t>”</w:t>
      </w:r>
    </w:p>
    <w:p>
      <w:pPr>
        <w:pStyle w:val="12"/>
        <w:tabs>
          <w:tab w:val="left" w:pos="415"/>
        </w:tabs>
        <w:ind w:left="845" w:firstLine="0" w:firstLineChars="0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 </w:t>
      </w:r>
      <w:r>
        <w:rPr>
          <w:rFonts w:hint="eastAsia" w:ascii="宋体" w:hAnsi="宋体" w:eastAsia="宋体" w:cs="Times New Roman"/>
          <w:sz w:val="20"/>
          <w:szCs w:val="20"/>
        </w:rPr>
        <w:t>驳回：驳回厂商回复，该条记录状态变更为“待供应商回复”</w:t>
      </w:r>
    </w:p>
    <w:bookmarkEnd w:id="22"/>
    <w:p>
      <w:pPr>
        <w:pStyle w:val="12"/>
        <w:tabs>
          <w:tab w:val="left" w:pos="415"/>
        </w:tabs>
        <w:ind w:left="2080" w:firstLine="0" w:firstLineChars="0"/>
        <w:rPr>
          <w:rFonts w:ascii="宋体" w:hAnsi="宋体" w:eastAsia="宋体" w:cs="Times New Roman"/>
          <w:sz w:val="20"/>
          <w:szCs w:val="20"/>
        </w:rPr>
      </w:pPr>
    </w:p>
    <w:sectPr>
      <w:headerReference r:id="rId6" w:type="default"/>
      <w:footerReference r:id="rId7" w:type="default"/>
      <w:pgSz w:w="11906" w:h="16838"/>
      <w:pgMar w:top="1440" w:right="879" w:bottom="1440" w:left="1134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7795" cy="1295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2pt;width:10.85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AY//Q&#10;AAAAAwEAAA8AAAAAAAAAAQAgAAAAIgAAAGRycy9kb3ducmV2LnhtbFBLAQIUABQAAAAIAIdO4kD4&#10;qzPw7wEAALY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90" w:hanging="90" w:hangingChars="50"/>
      <w:jc w:val="left"/>
    </w:pPr>
    <w:r>
      <w:drawing>
        <wp:inline distT="0" distB="0" distL="0" distR="0">
          <wp:extent cx="1163320" cy="394970"/>
          <wp:effectExtent l="0" t="0" r="0" b="5080"/>
          <wp:docPr id="10" name="图片 10" descr="http://www.kinwong.com/upload/10/news_img/log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http://www.kinwong.com/upload/10/news_img/logo-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32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>
      <w:t xml:space="preserve">           </w:t>
    </w:r>
    <w:r>
      <w:rPr>
        <w:rFonts w:hint="eastAsia"/>
      </w:rPr>
      <w:t xml:space="preserve">                                     </w:t>
    </w:r>
    <w:r>
      <w:t xml:space="preserve">           </w:t>
    </w:r>
    <w:r>
      <w:object>
        <v:shape id="_x0000_i1025" o:spt="75" type="#_x0000_t75" style="height:31.3pt;width:94.8pt;" o:ole="t" filled="f" o:preferrelative="t" stroked="f" coordsize="21600,21600">
          <v:path/>
          <v:fill on="f" focussize="0,0"/>
          <v:stroke on="f" joinstyle="miter"/>
          <v:imagedata r:id="rId3" o:title=""/>
          <o:lock v:ext="edit" aspectratio="t"/>
          <w10:wrap type="none"/>
          <w10:anchorlock/>
        </v:shape>
        <o:OLEObject Type="Embed" ProgID="Visio.Drawing.11" ShapeID="_x0000_i1025" DrawAspect="Content" ObjectID="_1468075725" r:id="rId2">
          <o:LockedField>false</o:LockedField>
        </o:OLEObject>
      </w:object>
    </w:r>
    <w:r>
      <w:t xml:space="preserve">          </w: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90" w:hanging="90" w:hangingChars="50"/>
      <w:jc w:val="left"/>
    </w:pPr>
    <w:r>
      <w:drawing>
        <wp:inline distT="0" distB="0" distL="0" distR="0">
          <wp:extent cx="1163320" cy="394970"/>
          <wp:effectExtent l="0" t="0" r="0" b="5080"/>
          <wp:docPr id="9" name="图片 9" descr="http://www.kinwong.com/upload/10/news_img/log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http://www.kinwong.com/upload/10/news_img/logo-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32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>
      <w:t xml:space="preserve">           </w:t>
    </w:r>
    <w:r>
      <w:rPr>
        <w:rFonts w:hint="eastAsia"/>
      </w:rPr>
      <w:t xml:space="preserve">                                 </w:t>
    </w:r>
    <w:r>
      <w:t xml:space="preserve">              </w:t>
    </w:r>
    <w:r>
      <w:object>
        <v:shape id="_x0000_i1027" o:spt="75" type="#_x0000_t75" style="height:30.7pt;width:95.15pt;" o:ole="t" filled="f" o:preferrelative="t" stroked="f" coordsize="21600,21600">
          <v:path/>
          <v:fill on="f" focussize="0,0"/>
          <v:stroke on="f" joinstyle="miter"/>
          <v:imagedata r:id="rId3" o:title=""/>
          <o:lock v:ext="edit" aspectratio="t"/>
          <w10:wrap type="none"/>
          <w10:anchorlock/>
        </v:shape>
        <o:OLEObject Type="Embed" ProgID="Visio.Drawing.11" ShapeID="_x0000_i1027" DrawAspect="Content" ObjectID="_1468075726" r:id="rId2">
          <o:LockedField>false</o:LockedField>
        </o:OLEObject>
      </w:object>
    </w:r>
    <w:r>
      <w:t xml:space="preserve">         </w: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84A28"/>
    <w:multiLevelType w:val="multilevel"/>
    <w:tmpl w:val="34A84A28"/>
    <w:lvl w:ilvl="0" w:tentative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6" w:hanging="420"/>
      </w:pPr>
    </w:lvl>
    <w:lvl w:ilvl="2" w:tentative="0">
      <w:start w:val="1"/>
      <w:numFmt w:val="lowerRoman"/>
      <w:lvlText w:val="%3."/>
      <w:lvlJc w:val="right"/>
      <w:pPr>
        <w:ind w:left="2046" w:hanging="420"/>
      </w:pPr>
    </w:lvl>
    <w:lvl w:ilvl="3" w:tentative="0">
      <w:start w:val="1"/>
      <w:numFmt w:val="decimal"/>
      <w:lvlText w:val="%4."/>
      <w:lvlJc w:val="left"/>
      <w:pPr>
        <w:ind w:left="2466" w:hanging="420"/>
      </w:pPr>
    </w:lvl>
    <w:lvl w:ilvl="4" w:tentative="0">
      <w:start w:val="1"/>
      <w:numFmt w:val="lowerLetter"/>
      <w:lvlText w:val="%5)"/>
      <w:lvlJc w:val="left"/>
      <w:pPr>
        <w:ind w:left="2886" w:hanging="420"/>
      </w:pPr>
    </w:lvl>
    <w:lvl w:ilvl="5" w:tentative="0">
      <w:start w:val="1"/>
      <w:numFmt w:val="lowerRoman"/>
      <w:lvlText w:val="%6."/>
      <w:lvlJc w:val="right"/>
      <w:pPr>
        <w:ind w:left="3306" w:hanging="420"/>
      </w:pPr>
    </w:lvl>
    <w:lvl w:ilvl="6" w:tentative="0">
      <w:start w:val="1"/>
      <w:numFmt w:val="decimal"/>
      <w:lvlText w:val="%7."/>
      <w:lvlJc w:val="left"/>
      <w:pPr>
        <w:ind w:left="3726" w:hanging="420"/>
      </w:pPr>
    </w:lvl>
    <w:lvl w:ilvl="7" w:tentative="0">
      <w:start w:val="1"/>
      <w:numFmt w:val="lowerLetter"/>
      <w:lvlText w:val="%8)"/>
      <w:lvlJc w:val="left"/>
      <w:pPr>
        <w:ind w:left="4146" w:hanging="420"/>
      </w:pPr>
    </w:lvl>
    <w:lvl w:ilvl="8" w:tentative="0">
      <w:start w:val="1"/>
      <w:numFmt w:val="lowerRoman"/>
      <w:lvlText w:val="%9."/>
      <w:lvlJc w:val="right"/>
      <w:pPr>
        <w:ind w:left="4566" w:hanging="420"/>
      </w:pPr>
    </w:lvl>
  </w:abstractNum>
  <w:abstractNum w:abstractNumId="1">
    <w:nsid w:val="40C0569B"/>
    <w:multiLevelType w:val="multilevel"/>
    <w:tmpl w:val="40C0569B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845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4"/>
    <w:rsid w:val="000013A3"/>
    <w:rsid w:val="000B246D"/>
    <w:rsid w:val="001C50AE"/>
    <w:rsid w:val="002050F5"/>
    <w:rsid w:val="00266624"/>
    <w:rsid w:val="00372311"/>
    <w:rsid w:val="0038543B"/>
    <w:rsid w:val="004721B6"/>
    <w:rsid w:val="00525261"/>
    <w:rsid w:val="00544717"/>
    <w:rsid w:val="005838F8"/>
    <w:rsid w:val="005A2E34"/>
    <w:rsid w:val="005F3C2F"/>
    <w:rsid w:val="006F501B"/>
    <w:rsid w:val="00746B84"/>
    <w:rsid w:val="00877F3F"/>
    <w:rsid w:val="008E387E"/>
    <w:rsid w:val="00931985"/>
    <w:rsid w:val="00977ED1"/>
    <w:rsid w:val="009F52C0"/>
    <w:rsid w:val="00B82416"/>
    <w:rsid w:val="00BC3319"/>
    <w:rsid w:val="00C17317"/>
    <w:rsid w:val="00C85772"/>
    <w:rsid w:val="00D13F48"/>
    <w:rsid w:val="00DD49F8"/>
    <w:rsid w:val="00E8290C"/>
    <w:rsid w:val="00EF16F8"/>
    <w:rsid w:val="0E9F197C"/>
    <w:rsid w:val="0F5664FA"/>
    <w:rsid w:val="2017189D"/>
    <w:rsid w:val="21126EBE"/>
    <w:rsid w:val="257E7500"/>
    <w:rsid w:val="30F670CB"/>
    <w:rsid w:val="32EF39BA"/>
    <w:rsid w:val="48BF4C1B"/>
    <w:rsid w:val="4A5A453D"/>
    <w:rsid w:val="4AF11BBC"/>
    <w:rsid w:val="665F51B9"/>
    <w:rsid w:val="68211641"/>
    <w:rsid w:val="6B0A1896"/>
    <w:rsid w:val="6DF71DC9"/>
    <w:rsid w:val="758F5CAB"/>
    <w:rsid w:val="7736617B"/>
    <w:rsid w:val="7C8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uiPriority w:val="39"/>
    <w:pPr>
      <w:ind w:left="840" w:leftChars="4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2.bin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556</Words>
  <Characters>3173</Characters>
  <Lines>26</Lines>
  <Paragraphs>7</Paragraphs>
  <TotalTime>508</TotalTime>
  <ScaleCrop>false</ScaleCrop>
  <LinksUpToDate>false</LinksUpToDate>
  <CharactersWithSpaces>3722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2018-07-23T17:00:00Z</dcterms:created>
  <dc:creator>qintaimeng@outlook.com</dc:creator>
  <cp:lastModifiedBy>贾浩</cp:lastModifiedBy>
  <dcterms:modified xsi:type="dcterms:W3CDTF">2018-08-10T01:16:02Z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