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30af3a3d5e958265491193371b7e9061f7a41c85.png"/>
            <a:graphic>
              <a:graphicData uri="http://schemas.openxmlformats.org/drawingml/2006/picture">
                <pic:pic>
                  <pic:nvPicPr>
                    <pic:cNvPr id="1" name="image-30af3a3d5e958265491193371b7e9061f7a41c8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Where AWS Step Functions Fit in an HRS Architecture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AWS Step Functions is a </w:t>
      </w:r>
      <w:r>
        <w:rPr>
          <w:rFonts w:eastAsia="inter" w:cs="inter" w:ascii="inter" w:hAnsi="inter"/>
          <w:b/>
          <w:color w:val="000000"/>
        </w:rPr>
        <w:t xml:space="preserve">fully-managed, serverless workflow-orchestration service</w:t>
      </w:r>
      <w:r>
        <w:rPr>
          <w:rFonts w:eastAsia="inter" w:cs="inter" w:ascii="inter" w:hAnsi="inter"/>
          <w:color w:val="000000"/>
        </w:rPr>
        <w:t xml:space="preserve"> that lets you model a state machine in Amazon States Language (JSON/YAML) and run it without provisioning or operating any workflow infrastructure.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Strengths for Your Use Case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Instant scalability &amp; zero ops</w:t>
      </w:r>
      <w:r>
        <w:rPr>
          <w:rFonts w:eastAsia="inter" w:cs="inter" w:ascii="inter" w:hAnsi="inter"/>
          <w:color w:val="000000"/>
          <w:sz w:val="21"/>
        </w:rPr>
        <w:t xml:space="preserve"> – Because AWS runs the service, you never patch brokers or manage disks. HRS cloud could burst to thousands of concurrent remediation workflows when a major incident occurs, and Step Functions will scale automatically.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Native AWS integrations</w:t>
      </w:r>
      <w:r>
        <w:rPr>
          <w:rFonts w:eastAsia="inter" w:cs="inter" w:ascii="inter" w:hAnsi="inter"/>
          <w:color w:val="000000"/>
          <w:sz w:val="21"/>
        </w:rPr>
        <w:t xml:space="preserve"> – Out-of-the-box service integrations (Lambda, ECS/Fargate, SNS/SQS, DynamoDB, EventBridge, SageMaker, etc.) eliminate glue code for common remediation steps that touch AWS resources.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" w:name="fnref1:1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Built-in retries, timers, and error handling</w:t>
      </w:r>
      <w:r>
        <w:rPr>
          <w:rFonts w:eastAsia="inter" w:cs="inter" w:ascii="inter" w:hAnsi="inter"/>
          <w:color w:val="000000"/>
          <w:sz w:val="21"/>
        </w:rPr>
        <w:t xml:space="preserve"> – Each state lets you declare timeouts, exponential back-offs, and fallback paths, which is ideal for the network-heavy, multi-step activities typical in alert remediation and BCP automation.</w:t>
      </w:r>
      <w:bookmarkStart w:id="5" w:name="fnref4:1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Execution history &amp; visual console</w:t>
      </w:r>
      <w:r>
        <w:rPr>
          <w:rFonts w:eastAsia="inter" w:cs="inter" w:ascii="inter" w:hAnsi="inter"/>
          <w:color w:val="000000"/>
          <w:sz w:val="21"/>
        </w:rPr>
        <w:t xml:space="preserve"> – A persisted step-by-step audit trail plus a GUI that shows real-time progress can shorten incident triage and post-mortem analysis.</w:t>
      </w:r>
      <w:bookmarkStart w:id="6" w:name="fnref3:1"/>
      <w:bookmarkEnd w:id="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Pay-per-transition pricing</w:t>
      </w:r>
      <w:r>
        <w:rPr>
          <w:rFonts w:eastAsia="inter" w:cs="inter" w:ascii="inter" w:hAnsi="inter"/>
          <w:color w:val="000000"/>
          <w:sz w:val="21"/>
        </w:rPr>
        <w:t xml:space="preserve"> – You pay only for state transitions, not for idle time. Because HRS workflows are short-lived (hours to a few days) and mostly waiting on external systems, this can be cost-efficient.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Limitations to Keep in Mind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Impact on HRS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Mitigation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AWS-only service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– cannot run on-prem or another cloud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  <w:r>
              <w:rPr>
                <w:rFonts w:eastAsia="inter" w:cs="inter" w:ascii="inter" w:hAnsi="inter"/>
                <w:color w:val="000000"/>
                <w:sz w:val="17"/>
              </w:rPr>
              <w:t xml:space="preserve">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Goes against the desire to keep onshore processing in Camunda 7; adds vendor lock-in.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 Step Functions only for cloud-native alerts; keep hybrid workflows in Camunda.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64 KB input/output payload per state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  <w:r>
              <w:rPr>
                <w:rFonts w:eastAsia="inter" w:cs="inter" w:ascii="inter" w:hAnsi="inter"/>
                <w:color w:val="000000"/>
                <w:sz w:val="17"/>
              </w:rPr>
              <w:t xml:space="preserve">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Large JSON payloads or binary artifacts must be stored in S3 and passed by reference.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Standardize on S3 object pointers for big data.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JSON/YAML definition, no BPMN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  <w:r>
              <w:rPr>
                <w:rFonts w:eastAsia="inter" w:cs="inter" w:ascii="inter" w:hAnsi="inter"/>
                <w:color w:val="000000"/>
                <w:sz w:val="17"/>
              </w:rPr>
              <w:t xml:space="preserve">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Your Camunda users lose BPMN diagrams and modeler tooling.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Reserve Step Functions for simpler, linear remediation flows; use Camunda 8 or Temporal for complex BPMN-style processes.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State-transition-based billing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r>
              <w:rPr>
                <w:rFonts w:eastAsia="inter" w:cs="inter" w:ascii="inter" w:hAnsi="inter"/>
                <w:color w:val="000000"/>
                <w:sz w:val="17"/>
              </w:rPr>
              <w:t xml:space="preserve">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High-fan-out loops (Map/Parallel) can become costly if not optimized.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Batch or throttle actions; aggregate alarms before triggering a workflow.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Single-region execution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(though it can call multi-region services).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DR automation that itself is impacted by region-wide failure needs special design.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Deploy duplicate state machines in a secondary region and invoke via Route 53 health checks.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When to Use Step Functions in HRS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AWS-centric remediation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Restarting ECS tasks, resizing Auto Scaling Groups, rotating secrets, or patching an RDS cluster.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Short, linear BCP runbooks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Snapshot an EBS volume → copy to DR region → promote a standby RDS → flip Route 53 record.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Glue for serverless tasks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Coordinate multiple Lambda functions that gather metrics, open PagerDuty incidents, and post Slack updates.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When to Prefer Camunda 8 or Temporal Instead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Cross-environment workflows</w:t>
      </w:r>
      <w:r>
        <w:rPr>
          <w:rFonts w:eastAsia="inter" w:cs="inter" w:ascii="inter" w:hAnsi="inter"/>
          <w:color w:val="000000"/>
          <w:sz w:val="21"/>
        </w:rPr>
        <w:t xml:space="preserve"> that must touch on-prem systems with long-running human approvals.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BPMN-modeled processes</w:t>
      </w:r>
      <w:r>
        <w:rPr>
          <w:rFonts w:eastAsia="inter" w:cs="inter" w:ascii="inter" w:hAnsi="inter"/>
          <w:color w:val="000000"/>
          <w:sz w:val="21"/>
        </w:rPr>
        <w:t xml:space="preserve"> reused by both onshore and cloud teams.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Vendor-agnostic portability</w:t>
      </w:r>
      <w:r>
        <w:rPr>
          <w:rFonts w:eastAsia="inter" w:cs="inter" w:ascii="inter" w:hAnsi="inter"/>
          <w:color w:val="000000"/>
          <w:sz w:val="21"/>
        </w:rPr>
        <w:t xml:space="preserve"> or multi-cloud strategy.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Practical Adoption Path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 with AWS-only alerts</w:t>
      </w:r>
      <w:r>
        <w:rPr>
          <w:rFonts w:eastAsia="inter" w:cs="inter" w:ascii="inter" w:hAnsi="inter"/>
          <w:color w:val="000000"/>
          <w:sz w:val="21"/>
        </w:rPr>
        <w:t xml:space="preserve"> – Implement two or three common remediation playbooks entirely in Step Functions to gain familiarity.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Define interface contracts</w:t>
      </w:r>
      <w:r>
        <w:rPr>
          <w:rFonts w:eastAsia="inter" w:cs="inter" w:ascii="inter" w:hAnsi="inter"/>
          <w:color w:val="000000"/>
          <w:sz w:val="21"/>
        </w:rPr>
        <w:t xml:space="preserve"> – Standardize how a Step Functions workflow calls external systems (e.g., through an API Gateway endpoint exposed by onshore HRS).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Observe cost &amp; latency</w:t>
      </w:r>
      <w:r>
        <w:rPr>
          <w:rFonts w:eastAsia="inter" w:cs="inter" w:ascii="inter" w:hAnsi="inter"/>
          <w:color w:val="000000"/>
          <w:sz w:val="21"/>
        </w:rPr>
        <w:t xml:space="preserve"> – Use CloudWatch metrics to track state transitions and execution time; refine retry settings to avoid ballooning costs.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 decision matrix</w:t>
      </w:r>
      <w:r>
        <w:rPr>
          <w:rFonts w:eastAsia="inter" w:cs="inter" w:ascii="inter" w:hAnsi="inter"/>
          <w:color w:val="000000"/>
          <w:sz w:val="21"/>
        </w:rPr>
        <w:t xml:space="preserve"> – For every new workflow proposal, decide: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Step Functions (pure-AWS, ≤64 KB payload, ≤1 day runtime)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Camunda 8 (cross-domain BPMN, days-to-weeks runtime)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Camunda 7 (legacy onshore only)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Bottom line:</w:t>
      </w:r>
      <w:r>
        <w:rPr>
          <w:rFonts w:eastAsia="inter" w:cs="inter" w:ascii="inter" w:hAnsi="inter"/>
          <w:color w:val="000000"/>
        </w:rPr>
        <w:t xml:space="preserve"> AWS Step Functions is an excellent lightweight orchestrator for the </w:t>
      </w:r>
      <w:r>
        <w:rPr>
          <w:rFonts w:eastAsia="inter" w:cs="inter" w:ascii="inter" w:hAnsi="inter"/>
          <w:b/>
          <w:color w:val="000000"/>
        </w:rPr>
        <w:t xml:space="preserve">AWS-only slice</w:t>
      </w:r>
      <w:r>
        <w:rPr>
          <w:rFonts w:eastAsia="inter" w:cs="inter" w:ascii="inter" w:hAnsi="inter"/>
          <w:color w:val="000000"/>
        </w:rPr>
        <w:t xml:space="preserve"> of your Health Restoration System, giving you fully managed scalability and tight service integration. Keep it focused on cloud-native, short-lived remediation and BCP tasks, while using Camunda 8 or Temporal for hybrid, BPMN-driven, or vendor-agnostic workflows.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7" w:name="fn1"/>
    <w:bookmarkEnd w:id="7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https://aws.amazon.com/step-functions/features/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2"/>
    <w:bookmarkEnd w:id="8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https://docs.aws.amazon.com/step-functions/latest/dg/welcome.html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3"/>
    <w:bookmarkEnd w:id="9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4"/>
    <w:bookmarkEnd w:id="10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https://aws.amazon.com/step-functions/details/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5"/>
    <w:bookmarkEnd w:id="11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https://stackshare.io/stackups/aws-step-functions-vs-camunda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6"/>
    <w:bookmarkEnd w:id="12"/>
    <w:p>
      <w:pPr>
        <w:numPr>
          <w:ilvl w:val="0"/>
          <w:numId w:val="6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https://lumigo.io/aws-serverless-ecosystem/aws-step-functions-limits-use-cases-best-practices/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7"/>
    <w:bookmarkEnd w:id="13"/>
    <w:p>
      <w:pPr>
        <w:numPr>
          <w:ilvl w:val="0"/>
          <w:numId w:val="6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https://nixonmorillo.com/advantages-and-disadvantages-of-using-aws-step-functions-to-build-stateful-applications/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8"/>
    <w:bookmarkEnd w:id="14"/>
    <w:p>
      <w:pPr>
        <w:numPr>
          <w:ilvl w:val="0"/>
          <w:numId w:val="6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https://www.serverless.com/guides/aws-step-functions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9"/>
    <w:bookmarkEnd w:id="15"/>
    <w:p>
      <w:pPr>
        <w:numPr>
          <w:ilvl w:val="0"/>
          <w:numId w:val="6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https://www.lynchpin.com/blog/aws-step-functions/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10"/>
    <w:bookmarkEnd w:id="16"/>
    <w:p>
      <w:pPr>
        <w:numPr>
          <w:ilvl w:val="0"/>
          <w:numId w:val="6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https://www.peerspot.com/products/comparisons/aws-step-functions_vs_camunda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11"/>
    <w:bookmarkEnd w:id="17"/>
    <w:p>
      <w:pPr>
        <w:numPr>
          <w:ilvl w:val="0"/>
          <w:numId w:val="6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https://www.datadoghq.com/knowledge-center/aws-step-functions/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12"/>
    <w:bookmarkEnd w:id="18"/>
    <w:p>
      <w:pPr>
        <w:numPr>
          <w:ilvl w:val="0"/>
          <w:numId w:val="6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https://aws.amazon.com/step-functions/use-cases/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0af3a3d5e958265491193371b7e9061f7a41c85.png" TargetMode="Internal"/><Relationship Id="rId6" Type="http://schemas.openxmlformats.org/officeDocument/2006/relationships/hyperlink" Target="https://aws.amazon.com/step-functions/features/" TargetMode="External"/><Relationship Id="rId7" Type="http://schemas.openxmlformats.org/officeDocument/2006/relationships/hyperlink" Target="https://docs.aws.amazon.com/step-functions/latest/dg/welcome.html" TargetMode="External"/><Relationship Id="rId8" Type="http://schemas.openxmlformats.org/officeDocument/2006/relationships/hyperlink" Target="https://aws.amazon.com/step-functions/" TargetMode="External"/><Relationship Id="rId9" Type="http://schemas.openxmlformats.org/officeDocument/2006/relationships/hyperlink" Target="https://aws.amazon.com/step-functions/details/" TargetMode="External"/><Relationship Id="rId10" Type="http://schemas.openxmlformats.org/officeDocument/2006/relationships/hyperlink" Target="https://stackshare.io/stackups/aws-step-functions-vs-camunda" TargetMode="External"/><Relationship Id="rId11" Type="http://schemas.openxmlformats.org/officeDocument/2006/relationships/hyperlink" Target="https://lumigo.io/aws-serverless-ecosystem/aws-step-functions-limits-use-cases-best-practices/" TargetMode="External"/><Relationship Id="rId12" Type="http://schemas.openxmlformats.org/officeDocument/2006/relationships/hyperlink" Target="https://nixonmorillo.com/advantages-and-disadvantages-of-using-aws-step-functions-to-build-stateful-applications/" TargetMode="External"/><Relationship Id="rId13" Type="http://schemas.openxmlformats.org/officeDocument/2006/relationships/hyperlink" Target="https://www.serverless.com/guides/aws-step-functions" TargetMode="External"/><Relationship Id="rId14" Type="http://schemas.openxmlformats.org/officeDocument/2006/relationships/hyperlink" Target="https://www.lynchpin.com/blog/aws-step-functions/" TargetMode="External"/><Relationship Id="rId15" Type="http://schemas.openxmlformats.org/officeDocument/2006/relationships/hyperlink" Target="https://www.peerspot.com/products/comparisons/aws-step-functions_vs_camunda" TargetMode="External"/><Relationship Id="rId16" Type="http://schemas.openxmlformats.org/officeDocument/2006/relationships/hyperlink" Target="https://www.datadoghq.com/knowledge-center/aws-step-functions/" TargetMode="External"/><Relationship Id="rId17" Type="http://schemas.openxmlformats.org/officeDocument/2006/relationships/hyperlink" Target="https://aws.amazon.com/step-functions/use-cases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2025-08-19T22:11:54.004Z</dcterms:created>
  <dcterms:modified xsi:type="dcterms:W3CDTF">2025-08-19T22:11:54.004Z</dcterms:modified>
</cp:coreProperties>
</file>