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9d183f18d18236889f779a969881fe186cd32c62.png"/>
            <a:graphic>
              <a:graphicData uri="http://schemas.openxmlformats.org/drawingml/2006/picture">
                <pic:pic>
                  <pic:nvPicPr>
                    <pic:cNvPr id="1" name="image-9d183f18d18236889f779a969881fe186cd32c62.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is it done?</w:t>
      </w:r>
    </w:p>
    <w:p>
      <w:pPr>
        <w:spacing w:line="360" w:after="210" w:lineRule="auto"/>
      </w:pPr>
      <w:r>
        <w:rPr>
          <w:rFonts w:eastAsia="inter" w:cs="inter" w:ascii="inter" w:hAnsi="inter"/>
          <w:b/>
          <w:color w:val="000000"/>
        </w:rPr>
        <w:t xml:space="preserve">Temporal</w:t>
      </w:r>
      <w:r>
        <w:rPr>
          <w:rFonts w:eastAsia="inter" w:cs="inter" w:ascii="inter" w:hAnsi="inter"/>
          <w:color w:val="000000"/>
        </w:rPr>
        <w:t xml:space="preserve"> is an open-source, cloud-native </w:t>
      </w:r>
      <w:r>
        <w:rPr>
          <w:rFonts w:eastAsia="inter" w:cs="inter" w:ascii="inter" w:hAnsi="inter"/>
          <w:b/>
          <w:color w:val="000000"/>
        </w:rPr>
        <w:t xml:space="preserve">workflow orchestration platform</w:t>
      </w:r>
      <w:r>
        <w:rPr>
          <w:rFonts w:eastAsia="inter" w:cs="inter" w:ascii="inter" w:hAnsi="inter"/>
          <w:color w:val="000000"/>
        </w:rPr>
        <w:t xml:space="preserve"> that lets developers define long-running, state-persistent workflows in code while the Temporal service guarantees reliable execution even in the face of service crashes, network partitions, or infrastructure failures.</w:t>
      </w:r>
      <w:bookmarkStart w:id="0" w:name="fnref1"/>
      <w:bookmarkEnd w:id="0"/>
      <w:hyperlink w:anchor="fn1">
        <w:r>
          <w:rPr>
            <w:rFonts w:eastAsia="inter" w:cs="inter" w:ascii="inter" w:hAnsi="inter"/>
            <w:color w:val="#000"/>
            <w:u w:val="single"/>
            <w:vertAlign w:val="superscript"/>
          </w:rPr>
          <w:t xml:space="preserve">[1]</w:t>
        </w:r>
      </w:hyperlink>
    </w:p>
    <w:p>
      <w:pPr>
        <w:spacing w:line="360" w:after="210" w:lineRule="auto"/>
      </w:pPr>
      <w:r>
        <w:rPr>
          <w:rFonts w:eastAsia="inter" w:cs="inter" w:ascii="inter" w:hAnsi="inter"/>
          <w:color w:val="000000"/>
        </w:rPr>
        <w:t xml:space="preserve">Key points:</w:t>
      </w:r>
    </w:p>
    <w:p>
      <w:pPr>
        <w:numPr>
          <w:ilvl w:val="0"/>
          <w:numId w:val="1"/>
        </w:numPr>
        <w:spacing w:line="360" w:before="105" w:after="105" w:lineRule="auto"/>
      </w:pPr>
      <w:r>
        <w:rPr>
          <w:rFonts w:eastAsia="inter" w:cs="inter" w:ascii="inter" w:hAnsi="inter"/>
          <w:b/>
          <w:color w:val="000000"/>
          <w:sz w:val="21"/>
        </w:rPr>
        <w:t xml:space="preserve">Durable execution</w:t>
      </w:r>
      <w:r>
        <w:rPr>
          <w:rFonts w:eastAsia="inter" w:cs="inter" w:ascii="inter" w:hAnsi="inter"/>
          <w:color w:val="000000"/>
          <w:sz w:val="21"/>
        </w:rPr>
        <w:t xml:space="preserve">: Every state change is written to an append-only event log so a workflow can resume exactly where it left off after any interruption.</w:t>
      </w:r>
      <w:bookmarkStart w:id="1" w:name="fnref2"/>
      <w:bookmarkEnd w:id="1"/>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b/>
          <w:color w:val="000000"/>
          <w:sz w:val="21"/>
        </w:rPr>
        <w:t xml:space="preserve">Code-first model</w:t>
      </w:r>
      <w:r>
        <w:rPr>
          <w:rFonts w:eastAsia="inter" w:cs="inter" w:ascii="inter" w:hAnsi="inter"/>
          <w:color w:val="000000"/>
          <w:sz w:val="21"/>
        </w:rPr>
        <w:t xml:space="preserve">: Workflows and activities are written in familiar languages (Go, Java, TypeScript, Python, PHP, Rust), avoiding external DSLs or JSON-based definitions.</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2:1"/>
      <w:bookmarkEnd w:id="3"/>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b/>
          <w:color w:val="000000"/>
          <w:sz w:val="21"/>
        </w:rPr>
        <w:t xml:space="preserve">At-least-once guarantees</w:t>
      </w:r>
      <w:r>
        <w:rPr>
          <w:rFonts w:eastAsia="inter" w:cs="inter" w:ascii="inter" w:hAnsi="inter"/>
          <w:color w:val="000000"/>
          <w:sz w:val="21"/>
        </w:rPr>
        <w:t xml:space="preserve"> with </w:t>
      </w:r>
      <w:r>
        <w:rPr>
          <w:rFonts w:eastAsia="inter" w:cs="inter" w:ascii="inter" w:hAnsi="inter"/>
          <w:b/>
          <w:color w:val="000000"/>
          <w:sz w:val="21"/>
        </w:rPr>
        <w:t xml:space="preserve">exact-once semantics</w:t>
      </w:r>
      <w:r>
        <w:rPr>
          <w:rFonts w:eastAsia="inter" w:cs="inter" w:ascii="inter" w:hAnsi="inter"/>
          <w:color w:val="000000"/>
          <w:sz w:val="21"/>
        </w:rPr>
        <w:t xml:space="preserve"> at the workflow level: Temporal automatically retries failed steps with customizable back-off, ensuring business logic runs to completion without duplicating side effects.</w:t>
      </w:r>
      <w:bookmarkStart w:id="4" w:name="fnref1:1"/>
      <w:bookmarkEnd w:id="4"/>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b/>
          <w:color w:val="000000"/>
          <w:sz w:val="21"/>
        </w:rPr>
        <w:t xml:space="preserve">Horizontally scalable service</w:t>
      </w:r>
      <w:r>
        <w:rPr>
          <w:rFonts w:eastAsia="inter" w:cs="inter" w:ascii="inter" w:hAnsi="inter"/>
          <w:color w:val="000000"/>
          <w:sz w:val="21"/>
        </w:rPr>
        <w:t xml:space="preserve">: The Temporal server is stateless; scaling simply adds more worker or service nodes, which makes it suitable for high-throughput cloud deployments.</w:t>
      </w:r>
      <w:bookmarkStart w:id="5" w:name="fnref4"/>
      <w:bookmarkEnd w:id="5"/>
      <w:hyperlink w:anchor="fn4">
        <w:r>
          <w:rPr>
            <w:rFonts w:eastAsia="inter" w:cs="inter" w:ascii="inter" w:hAnsi="inter"/>
            <w:color w:val="#000"/>
            <w:sz w:val="21"/>
            <w:u w:val="single"/>
            <w:vertAlign w:val="superscript"/>
          </w:rPr>
          <w:t xml:space="preserve">[4]</w:t>
        </w:r>
      </w:hyperlink>
    </w:p>
    <w:p>
      <w:pPr>
        <w:numPr>
          <w:ilvl w:val="0"/>
          <w:numId w:val="1"/>
        </w:numPr>
        <w:spacing w:line="360" w:before="105" w:after="105" w:lineRule="auto"/>
      </w:pPr>
      <w:r>
        <w:rPr>
          <w:rFonts w:eastAsia="inter" w:cs="inter" w:ascii="inter" w:hAnsi="inter"/>
          <w:b/>
          <w:color w:val="000000"/>
          <w:sz w:val="21"/>
        </w:rPr>
        <w:t xml:space="preserve">Strong observability</w:t>
      </w:r>
      <w:r>
        <w:rPr>
          <w:rFonts w:eastAsia="inter" w:cs="inter" w:ascii="inter" w:hAnsi="inter"/>
          <w:color w:val="000000"/>
          <w:sz w:val="21"/>
        </w:rPr>
        <w:t xml:space="preserve">: Built-in visibility into workflow history, execution status, retries, and errors through Web UI and APIs.</w:t>
      </w:r>
      <w:bookmarkStart w:id="6" w:name="fnref5"/>
      <w:bookmarkEnd w:id="6"/>
      <w:hyperlink w:anchor="fn5">
        <w:r>
          <w:rPr>
            <w:rFonts w:eastAsia="inter" w:cs="inter" w:ascii="inter" w:hAnsi="inter"/>
            <w:color w:val="#000"/>
            <w:sz w:val="21"/>
            <w:u w:val="single"/>
            <w:vertAlign w:val="superscript"/>
          </w:rPr>
          <w:t xml:space="preserve">[5]</w:t>
        </w:r>
      </w:hyperlink>
    </w:p>
    <w:p>
      <w:pPr>
        <w:numPr>
          <w:ilvl w:val="0"/>
          <w:numId w:val="1"/>
        </w:numPr>
        <w:spacing w:line="360" w:before="105" w:after="105" w:lineRule="auto"/>
      </w:pPr>
      <w:r>
        <w:rPr>
          <w:rFonts w:eastAsia="inter" w:cs="inter" w:ascii="inter" w:hAnsi="inter"/>
          <w:b/>
          <w:color w:val="000000"/>
          <w:sz w:val="21"/>
        </w:rPr>
        <w:t xml:space="preserve">Use cases</w:t>
      </w:r>
      <w:r>
        <w:rPr>
          <w:rFonts w:eastAsia="inter" w:cs="inter" w:ascii="inter" w:hAnsi="inter"/>
          <w:color w:val="000000"/>
          <w:sz w:val="21"/>
        </w:rPr>
        <w:t xml:space="preserve">: Micro-service sagas, batch job orchestration, payment processing, user provisioning, and disaster-recovery automations like BCP workflows where reliable, multi-step operations must survive failures.</w:t>
      </w:r>
      <w:bookmarkStart w:id="7" w:name="fnref6"/>
      <w:bookmarkEnd w:id="7"/>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color w:val="000000"/>
        </w:rPr>
        <w:t xml:space="preserve">Because workflows are expressed as regular code and Temporal handles persistence, timers, and retries, developers can focus on business logic while gaining the fault tolerance and consistency normally associated with distributed transaction systems.</w:t>
      </w:r>
      <w:bookmarkStart w:id="8" w:name="fnref4:1"/>
      <w:bookmarkEnd w:id="8"/>
      <w:hyperlink w:anchor="fn4">
        <w:r>
          <w:rPr>
            <w:rFonts w:eastAsia="inter" w:cs="inter" w:ascii="inter" w:hAnsi="inter"/>
            <w:color w:val="#000"/>
            <w:u w:val="single"/>
            <w:vertAlign w:val="superscript"/>
          </w:rPr>
          <w:t xml:space="preserve">[4]</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9" w:name="fn1"/>
    <w:bookmarkEnd w:id="9"/>
    <w:p>
      <w:pPr>
        <w:numPr>
          <w:ilvl w:val="0"/>
          <w:numId w:val="3"/>
        </w:numPr>
        <w:spacing w:line="360" w:after="210" w:lineRule="auto"/>
      </w:pPr>
      <w:hyperlink r:id="rId6">
        <w:r>
          <w:rPr>
            <w:rFonts w:eastAsia="inter" w:cs="inter" w:ascii="inter" w:hAnsi="inter"/>
            <w:color w:val="#000"/>
            <w:sz w:val="18"/>
            <w:u w:val="single"/>
          </w:rPr>
          <w:t xml:space="preserve">https://docs.temporal.io/temporal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 w:name="fn2"/>
    <w:bookmarkEnd w:id="10"/>
    <w:p>
      <w:pPr>
        <w:numPr>
          <w:ilvl w:val="0"/>
          <w:numId w:val="3"/>
        </w:numPr>
        <w:spacing w:line="360" w:after="210" w:lineRule="auto"/>
      </w:pPr>
      <w:hyperlink r:id="rId7">
        <w:r>
          <w:rPr>
            <w:rFonts w:eastAsia="inter" w:cs="inter" w:ascii="inter" w:hAnsi="inter"/>
            <w:color w:val="#000"/>
            <w:sz w:val="18"/>
            <w:u w:val="single"/>
          </w:rPr>
          <w:t xml:space="preserve">https://docs.temporal.io/workflows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1" w:name="fn3"/>
    <w:bookmarkEnd w:id="11"/>
    <w:p>
      <w:pPr>
        <w:numPr>
          <w:ilvl w:val="0"/>
          <w:numId w:val="3"/>
        </w:numPr>
        <w:spacing w:line="360" w:after="210" w:lineRule="auto"/>
      </w:pPr>
      <w:hyperlink r:id="rId8">
        <w:r>
          <w:rPr>
            <w:rFonts w:eastAsia="inter" w:cs="inter" w:ascii="inter" w:hAnsi="inter"/>
            <w:color w:val="#000"/>
            <w:sz w:val="18"/>
            <w:u w:val="single"/>
          </w:rPr>
          <w:t xml:space="preserve">https://docs.temporal.io/workflow-definition</w:t>
        </w:r>
      </w:hyperlink>
      <w:r>
        <w:rPr>
          <w:rFonts w:eastAsia="inter" w:cs="inter" w:ascii="inter" w:hAnsi="inter"/>
          <w:color w:val="000000"/>
          <w:sz w:val="18"/>
        </w:rPr>
        <w:t xml:space="preserve"> </w:t>
      </w:r>
    </w:p>
    <w:bookmarkStart w:id="12" w:name="fn4"/>
    <w:bookmarkEnd w:id="12"/>
    <w:p>
      <w:pPr>
        <w:numPr>
          <w:ilvl w:val="0"/>
          <w:numId w:val="3"/>
        </w:numPr>
        <w:spacing w:line="360" w:after="210" w:lineRule="auto"/>
      </w:pPr>
      <w:hyperlink r:id="rId9">
        <w:r>
          <w:rPr>
            <w:rFonts w:eastAsia="inter" w:cs="inter" w:ascii="inter" w:hAnsi="inter"/>
            <w:color w:val="#000"/>
            <w:sz w:val="18"/>
            <w:u w:val="single"/>
          </w:rPr>
          <w:t xml:space="preserve">https://temporal.io/blog/workflow-engine-principles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 w:name="fn5"/>
    <w:bookmarkEnd w:id="13"/>
    <w:p>
      <w:pPr>
        <w:numPr>
          <w:ilvl w:val="0"/>
          <w:numId w:val="3"/>
        </w:numPr>
        <w:spacing w:line="360" w:after="210" w:lineRule="auto"/>
      </w:pPr>
      <w:hyperlink r:id="rId10">
        <w:r>
          <w:rPr>
            <w:rFonts w:eastAsia="inter" w:cs="inter" w:ascii="inter" w:hAnsi="inter"/>
            <w:color w:val="#000"/>
            <w:sz w:val="18"/>
            <w:u w:val="single"/>
          </w:rPr>
          <w:t xml:space="preserve">https://temporal.io</w:t>
        </w:r>
      </w:hyperlink>
      <w:r>
        <w:rPr>
          <w:rFonts w:eastAsia="inter" w:cs="inter" w:ascii="inter" w:hAnsi="inter"/>
          <w:color w:val="000000"/>
          <w:sz w:val="18"/>
        </w:rPr>
        <w:t xml:space="preserve"> </w:t>
      </w:r>
    </w:p>
    <w:bookmarkStart w:id="14" w:name="fn6"/>
    <w:bookmarkEnd w:id="14"/>
    <w:p>
      <w:pPr>
        <w:numPr>
          <w:ilvl w:val="0"/>
          <w:numId w:val="3"/>
        </w:numPr>
        <w:spacing w:line="360" w:after="210" w:lineRule="auto"/>
      </w:pPr>
      <w:hyperlink r:id="rId11">
        <w:r>
          <w:rPr>
            <w:rFonts w:eastAsia="inter" w:cs="inter" w:ascii="inter" w:hAnsi="inter"/>
            <w:color w:val="#000"/>
            <w:sz w:val="18"/>
            <w:u w:val="single"/>
          </w:rPr>
          <w:t xml:space="preserve">https://pipekit.io/blog/temporal-vs-argo-workflows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d183f18d18236889f779a969881fe186cd32c62.png" TargetMode="Internal"/><Relationship Id="rId6" Type="http://schemas.openxmlformats.org/officeDocument/2006/relationships/hyperlink" Target="https://docs.temporal.io/temporal" TargetMode="External"/><Relationship Id="rId7" Type="http://schemas.openxmlformats.org/officeDocument/2006/relationships/hyperlink" Target="https://docs.temporal.io/workflows" TargetMode="External"/><Relationship Id="rId8" Type="http://schemas.openxmlformats.org/officeDocument/2006/relationships/hyperlink" Target="https://docs.temporal.io/workflow-definition" TargetMode="External"/><Relationship Id="rId9" Type="http://schemas.openxmlformats.org/officeDocument/2006/relationships/hyperlink" Target="https://temporal.io/blog/workflow-engine-principles" TargetMode="External"/><Relationship Id="rId10" Type="http://schemas.openxmlformats.org/officeDocument/2006/relationships/hyperlink" Target="https://temporal.io" TargetMode="External"/><Relationship Id="rId11" Type="http://schemas.openxmlformats.org/officeDocument/2006/relationships/hyperlink" Target="https://pipekit.io/blog/temporal-vs-argo-workflow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2025-08-19T07:43:01.190Z</dcterms:created>
  <dcterms:modified xsi:type="dcterms:W3CDTF">2025-08-19T07:43:01.190Z</dcterms:modified>
</cp:coreProperties>
</file>