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  <w:r>
        <w:t xml:space="preserve"> </w:t>
      </w:r>
      <w:r>
        <w:t xml:space="preserve">по</w:t>
      </w:r>
      <w:r>
        <w:t xml:space="preserve"> </w:t>
      </w:r>
      <w:r>
        <w:t xml:space="preserve">дисциплине</w:t>
      </w:r>
      <w:r>
        <w:t xml:space="preserve"> </w:t>
      </w:r>
      <w:r>
        <w:t xml:space="preserve">Компьютерный</w:t>
      </w:r>
      <w:r>
        <w:t xml:space="preserve"> </w:t>
      </w:r>
      <w:r>
        <w:t xml:space="preserve">практикум</w:t>
      </w:r>
      <w:r>
        <w:t xml:space="preserve"> </w:t>
      </w:r>
      <w:r>
        <w:t xml:space="preserve">по</w:t>
      </w:r>
      <w:r>
        <w:t xml:space="preserve"> </w:t>
      </w:r>
      <w:r>
        <w:t xml:space="preserve">статистическому</w:t>
      </w:r>
      <w:r>
        <w:t xml:space="preserve"> </w:t>
      </w:r>
      <w:r>
        <w:t xml:space="preserve">анализу</w:t>
      </w:r>
      <w:r>
        <w:t xml:space="preserve"> </w:t>
      </w:r>
      <w:r>
        <w:t xml:space="preserve">данных</w:t>
      </w:r>
    </w:p>
    <w:p>
      <w:pPr>
        <w:pStyle w:val="Subtitle"/>
      </w:pPr>
      <w:r>
        <w:t xml:space="preserve">Julia.</w:t>
      </w:r>
      <w:r>
        <w:t xml:space="preserve"> </w:t>
      </w: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настройка.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принципы.</w:t>
      </w:r>
    </w:p>
    <w:p>
      <w:pPr>
        <w:pStyle w:val="Author"/>
      </w:pPr>
      <w:r>
        <w:t xml:space="preserve">Шаповалова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Основная цель работы — подготовить рабочее пространство и инструментарий для</w:t>
      </w:r>
      <w:r>
        <w:t xml:space="preserve"> </w:t>
      </w:r>
      <w:r>
        <w:t xml:space="preserve">работы с языком программирования Julia, на простейших примерах познакомиться</w:t>
      </w:r>
      <w:r>
        <w:t xml:space="preserve"> </w:t>
      </w:r>
      <w:r>
        <w:t xml:space="preserve">с основами синтаксиса Julia.</w:t>
      </w:r>
    </w:p>
    <w:bookmarkEnd w:id="20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подготовка-инструментария-к-работ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 инструментария к работе</w:t>
      </w:r>
    </w:p>
    <w:p>
      <w:pPr>
        <w:pStyle w:val="FirstParagraph"/>
      </w:pPr>
      <w:r>
        <w:t xml:space="preserve">Установите Julia (https://julialang.org/) и Jupyter (https://jupyter.org/) под</w:t>
      </w:r>
      <w:r>
        <w:t xml:space="preserve"> </w:t>
      </w:r>
      <w:r>
        <w:t xml:space="preserve">вашу операционную систему.</w:t>
      </w:r>
    </w:p>
    <w:p>
      <w:pPr>
        <w:pStyle w:val="BodyText"/>
      </w:pPr>
      <w:r>
        <w:t xml:space="preserve">Для ОС типа Windows рекомендуется для установки использовать менеджер пакетов</w:t>
      </w:r>
      <w:r>
        <w:t xml:space="preserve"> </w:t>
      </w:r>
      <w:r>
        <w:t xml:space="preserve">Chocolatey (https://chocolatey.org/), устанавливаемый через Administrative Shell. Далее</w:t>
      </w:r>
      <w:r>
        <w:t xml:space="preserve"> </w:t>
      </w:r>
      <w:r>
        <w:t xml:space="preserve">рекомендуется посредством данного менеджера установить Far Manager, Notepad++, Julia,</w:t>
      </w:r>
      <w:r>
        <w:t xml:space="preserve"> </w:t>
      </w:r>
      <w:r>
        <w:t xml:space="preserve">Anaconda Distribution (Python 3.x). (рис. 1 - рис. 4)</w:t>
      </w:r>
    </w:p>
    <w:p>
      <w:pPr>
        <w:pStyle w:val="CaptionedFigure"/>
      </w:pPr>
      <w:r>
        <w:drawing>
          <wp:inline>
            <wp:extent cx="5071462" cy="3204242"/>
            <wp:effectExtent b="0" l="0" r="0" t="0"/>
            <wp:docPr descr="Установка Chocolatey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62" cy="3204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Chocolatey</w:t>
      </w:r>
    </w:p>
    <w:p>
      <w:pPr>
        <w:pStyle w:val="CaptionedFigure"/>
      </w:pPr>
      <w:r>
        <w:drawing>
          <wp:inline>
            <wp:extent cx="4825573" cy="2051636"/>
            <wp:effectExtent b="0" l="0" r="0" t="0"/>
            <wp:docPr descr="Far уже был установлен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573" cy="205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Far уже был установлен</w:t>
      </w:r>
    </w:p>
    <w:p>
      <w:pPr>
        <w:pStyle w:val="CaptionedFigure"/>
      </w:pPr>
      <w:r>
        <w:drawing>
          <wp:inline>
            <wp:extent cx="5086830" cy="2159213"/>
            <wp:effectExtent b="0" l="0" r="0" t="0"/>
            <wp:docPr descr="Установка полезных пакетов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30" cy="2159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полезных пакетов</w:t>
      </w:r>
    </w:p>
    <w:p>
      <w:pPr>
        <w:pStyle w:val="CaptionedFigure"/>
      </w:pPr>
      <w:r>
        <w:drawing>
          <wp:inline>
            <wp:extent cx="4541263" cy="2059321"/>
            <wp:effectExtent b="0" l="0" r="0" t="0"/>
            <wp:docPr descr="Установка Anaconda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263" cy="2059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Anaconda</w:t>
      </w:r>
    </w:p>
    <w:p>
      <w:pPr>
        <w:pStyle w:val="CaptionedFigure"/>
      </w:pPr>
      <w:r>
        <w:drawing>
          <wp:inline>
            <wp:extent cx="3888121" cy="1698171"/>
            <wp:effectExtent b="0" l="0" r="0" t="0"/>
            <wp:docPr descr="Запускаем Julia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21" cy="1698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Запускаем Julia</w:t>
      </w:r>
    </w:p>
    <w:bookmarkEnd w:id="36"/>
    <w:bookmarkStart w:id="40" w:name="основы-работы-в-блокноте-jupyte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Основы работы в блокноте Jupyter</w:t>
      </w:r>
    </w:p>
    <w:p>
      <w:pPr>
        <w:pStyle w:val="FirstParagraph"/>
      </w:pPr>
      <w:r>
        <w:t xml:space="preserve">Запустите Jupyter Lab. (рис. 6)</w:t>
      </w:r>
    </w:p>
    <w:p>
      <w:pPr>
        <w:pStyle w:val="BodyText"/>
      </w:pPr>
      <w:r>
        <w:t xml:space="preserve">– a или b — создать новую ячейку соответственно выше или ниже текущей;</w:t>
      </w:r>
    </w:p>
    <w:p>
      <w:pPr>
        <w:pStyle w:val="BodyText"/>
      </w:pPr>
      <w:r>
        <w:t xml:space="preserve">– x — удалить ячейку;</w:t>
      </w:r>
    </w:p>
    <w:p>
      <w:pPr>
        <w:pStyle w:val="BodyText"/>
      </w:pPr>
      <w:r>
        <w:t xml:space="preserve">– z — отмена удаления ячейки;</w:t>
      </w:r>
    </w:p>
    <w:p>
      <w:pPr>
        <w:pStyle w:val="BodyText"/>
      </w:pPr>
      <w:r>
        <w:t xml:space="preserve">– m — перевести ячейку в режим текста;</w:t>
      </w:r>
    </w:p>
    <w:p>
      <w:pPr>
        <w:pStyle w:val="BodyText"/>
      </w:pPr>
      <w:r>
        <w:t xml:space="preserve">– y — перевести ячейку в режим набора кода</w:t>
      </w:r>
    </w:p>
    <w:p>
      <w:pPr>
        <w:pStyle w:val="CaptionedFigure"/>
      </w:pPr>
      <w:r>
        <w:drawing>
          <wp:inline>
            <wp:extent cx="5334000" cy="3187973"/>
            <wp:effectExtent b="0" l="0" r="0" t="0"/>
            <wp:docPr descr="Открываем Jupyter Lab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Открываем Jupyter Lab</w:t>
      </w:r>
    </w:p>
    <w:bookmarkEnd w:id="40"/>
    <w:bookmarkStart w:id="44" w:name="основы-синтаксиса-julia-на-примерах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Основы синтаксиса Julia на примерах</w:t>
      </w:r>
    </w:p>
    <w:p>
      <w:pPr>
        <w:pStyle w:val="FirstParagraph"/>
      </w:pPr>
      <w:r>
        <w:t xml:space="preserve">В Julia преобразование типов можно реализовать или прямым указанием, например</w:t>
      </w:r>
      <w:r>
        <w:t xml:space="preserve"> </w:t>
      </w:r>
      <w:r>
        <w:t xml:space="preserve">вещественное число 2.0 преобразовать в целое, а число 2 в символ:</w:t>
      </w:r>
      <w:r>
        <w:t xml:space="preserve"> </w:t>
      </w:r>
      <w:r>
        <w:t xml:space="preserve">Int64(2.0), Char(2)</w:t>
      </w:r>
    </w:p>
    <w:p>
      <w:pPr>
        <w:pStyle w:val="BodyText"/>
      </w:pPr>
      <w:r>
        <w:t xml:space="preserve">или использовать обобщённый оператор преобразования типов convert(), например:</w:t>
      </w:r>
      <w:r>
        <w:t xml:space="preserve"> </w:t>
      </w:r>
      <w:r>
        <w:t xml:space="preserve">convert(Int64, 2.0), convert(Char,2)</w:t>
      </w:r>
    </w:p>
    <w:p>
      <w:pPr>
        <w:pStyle w:val="BodyText"/>
      </w:pPr>
      <w:r>
        <w:t xml:space="preserve">Преобразование 1 в булевое true, 0 — в булевое false:</w:t>
      </w:r>
      <w:r>
        <w:t xml:space="preserve"> </w:t>
      </w:r>
      <w:r>
        <w:t xml:space="preserve">Bool(1), Bool(0)</w:t>
      </w:r>
    </w:p>
    <w:p>
      <w:pPr>
        <w:pStyle w:val="BodyText"/>
      </w:pPr>
      <w:r>
        <w:t xml:space="preserve">Для приведения нескольких аргументов к одному типу, если это возможно, используется оператор promote(), например:</w:t>
      </w:r>
      <w:r>
        <w:t xml:space="preserve"> </w:t>
      </w:r>
      <w:r>
        <w:t xml:space="preserve">promote(Int8(1), Float16(4.5), Float32(4.1))</w:t>
      </w:r>
    </w:p>
    <w:p>
      <w:pPr>
        <w:pStyle w:val="CaptionedFigure"/>
      </w:pPr>
      <w:r>
        <w:drawing>
          <wp:inline>
            <wp:extent cx="5094514" cy="2366682"/>
            <wp:effectExtent b="0" l="0" r="0" t="0"/>
            <wp:docPr descr="Примеры основ синтаксиса Julia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514" cy="2366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Примеры основ синтаксиса Julia</w:t>
      </w:r>
    </w:p>
    <w:bookmarkEnd w:id="44"/>
    <w:bookmarkStart w:id="63" w:name="задания-для-самостоятельной-работы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Задания для самостоятельной работы</w:t>
      </w:r>
    </w:p>
    <w:p>
      <w:pPr>
        <w:pStyle w:val="Compact"/>
        <w:numPr>
          <w:ilvl w:val="0"/>
          <w:numId w:val="1001"/>
        </w:numPr>
      </w:pPr>
      <w:r>
        <w:t xml:space="preserve">Изучите документацию по основным функциям Julia для чтения / записи / вывода информации на экран: read(), readline(), readlines(), readdlm(), print(),</w:t>
      </w:r>
      <w:r>
        <w:t xml:space="preserve"> </w:t>
      </w:r>
      <w:r>
        <w:t xml:space="preserve">println(), show(), write(). Приведите свои примеры их использования, поясняя особенности их применения. (рис. 8 - рис. 10)</w:t>
      </w:r>
    </w:p>
    <w:p>
      <w:pPr>
        <w:pStyle w:val="FirstParagraph"/>
      </w:pPr>
      <w:r>
        <w:t xml:space="preserve">Функция read() используется для чтения содержимого файла или потока. Она позволяет прочитать данные в бинарном или текстовом формате.</w:t>
      </w:r>
    </w:p>
    <w:p>
      <w:pPr>
        <w:pStyle w:val="BodyText"/>
      </w:pPr>
      <w:r>
        <w:t xml:space="preserve">Функция readline() читает одну строку из файла или стандартного потока ввода.</w:t>
      </w:r>
    </w:p>
    <w:p>
      <w:pPr>
        <w:pStyle w:val="BodyText"/>
      </w:pPr>
      <w:r>
        <w:t xml:space="preserve">Функция readlines() считывает все строки файла и возвращает их в виде массива строк.</w:t>
      </w:r>
    </w:p>
    <w:p>
      <w:pPr>
        <w:pStyle w:val="BodyText"/>
      </w:pPr>
      <w:r>
        <w:t xml:space="preserve">Функция readdlm() (read delimited) используется для чтения данных из файла с разделителями (например, CSV) в виде таблицы.</w:t>
      </w:r>
    </w:p>
    <w:p>
      <w:pPr>
        <w:pStyle w:val="CaptionedFigure"/>
      </w:pPr>
      <w:r>
        <w:drawing>
          <wp:inline>
            <wp:extent cx="5334000" cy="2182090"/>
            <wp:effectExtent b="0" l="0" r="0" t="0"/>
            <wp:docPr descr="Примеры read, readline, readlines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2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Примеры read, readline, readlines</w:t>
      </w:r>
    </w:p>
    <w:p>
      <w:pPr>
        <w:pStyle w:val="CaptionedFigure"/>
      </w:pPr>
      <w:r>
        <w:drawing>
          <wp:inline>
            <wp:extent cx="4080221" cy="1244813"/>
            <wp:effectExtent b="0" l="0" r="0" t="0"/>
            <wp:docPr descr="Примеры print, println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21" cy="1244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Примеры print, println</w:t>
      </w:r>
    </w:p>
    <w:p>
      <w:pPr>
        <w:pStyle w:val="CaptionedFigure"/>
      </w:pPr>
      <w:r>
        <w:drawing>
          <wp:inline>
            <wp:extent cx="3396342" cy="1498386"/>
            <wp:effectExtent b="0" l="0" r="0" t="0"/>
            <wp:docPr descr="Примеры show, write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342" cy="1498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Примеры show, write</w:t>
      </w:r>
    </w:p>
    <w:p>
      <w:pPr>
        <w:pStyle w:val="Compact"/>
        <w:numPr>
          <w:ilvl w:val="0"/>
          <w:numId w:val="1002"/>
        </w:numPr>
      </w:pPr>
      <w:r>
        <w:t xml:space="preserve">Изучите документацию по функции parse(). Приведите свои примеры её использования, поясняя особенности её применения. (рис. 11)</w:t>
      </w:r>
    </w:p>
    <w:p>
      <w:pPr>
        <w:pStyle w:val="FirstParagraph"/>
      </w:pPr>
      <w:r>
        <w:t xml:space="preserve">Функция parse() в Julia используется для преобразования строки в значение заданного типа. Она особенно полезна, когда нужно перевести текстовое представление числа или другого типа данных в соответствующий числовой или логический формат.</w:t>
      </w:r>
    </w:p>
    <w:p>
      <w:pPr>
        <w:pStyle w:val="CaptionedFigure"/>
      </w:pPr>
      <w:r>
        <w:drawing>
          <wp:inline>
            <wp:extent cx="2266789" cy="591670"/>
            <wp:effectExtent b="0" l="0" r="0" t="0"/>
            <wp:docPr descr="Пример parse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789" cy="59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Пример parse</w:t>
      </w:r>
    </w:p>
    <w:p>
      <w:pPr>
        <w:pStyle w:val="Compact"/>
        <w:numPr>
          <w:ilvl w:val="0"/>
          <w:numId w:val="1003"/>
        </w:numPr>
      </w:pPr>
      <w:r>
        <w:t xml:space="preserve">Изучите синтаксис Julia для базовых математических операций с разным типом переменных: сложение, вычитание, умножение, деление, возведение в степень, извлечение</w:t>
      </w:r>
      <w:r>
        <w:t xml:space="preserve"> </w:t>
      </w:r>
      <w:r>
        <w:t xml:space="preserve">корня, сравнение, логические операции. Приведите свои примеры с пояснениями по особенностям их применения. (рис. 12)</w:t>
      </w:r>
    </w:p>
    <w:p>
      <w:pPr>
        <w:pStyle w:val="CaptionedFigure"/>
      </w:pPr>
      <w:r>
        <w:drawing>
          <wp:inline>
            <wp:extent cx="4433687" cy="3957277"/>
            <wp:effectExtent b="0" l="0" r="0" t="0"/>
            <wp:docPr descr="Примеры базовых математических операций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687" cy="3957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Примеры базовых математических операций</w:t>
      </w:r>
    </w:p>
    <w:p>
      <w:pPr>
        <w:pStyle w:val="Compact"/>
        <w:numPr>
          <w:ilvl w:val="0"/>
          <w:numId w:val="1004"/>
        </w:numPr>
      </w:pPr>
      <w:r>
        <w:t xml:space="preserve">Приведите несколько своих примеров с пояснениями с операциями над матрицами и векторами: сложение, вычитание, скалярное произведение, транспонирование,</w:t>
      </w:r>
      <w:r>
        <w:t xml:space="preserve"> </w:t>
      </w:r>
      <w:r>
        <w:t xml:space="preserve">умножение на скаляр. (рис. 13)</w:t>
      </w:r>
    </w:p>
    <w:p>
      <w:pPr>
        <w:pStyle w:val="CaptionedFigure"/>
      </w:pPr>
      <w:r>
        <w:drawing>
          <wp:inline>
            <wp:extent cx="4310742" cy="3550023"/>
            <wp:effectExtent b="0" l="0" r="0" t="0"/>
            <wp:docPr descr="Примеры операций над матрицами и веторами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742" cy="3550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Примеры операций над матрицами и веторами</w:t>
      </w:r>
    </w:p>
    <w:bookmarkEnd w:id="63"/>
    <w:bookmarkEnd w:id="64"/>
    <w:bookmarkStart w:id="6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подготовили наше рабочее пространство и интрументарий для работы с языком программирования Julia, а также познакомились</w:t>
      </w:r>
      <w:r>
        <w:t xml:space="preserve"> </w:t>
      </w:r>
      <w:r>
        <w:t xml:space="preserve">с основами синтаксиса Julia</w:t>
      </w:r>
    </w:p>
    <w:bookmarkEnd w:id="65"/>
    <w:bookmarkStart w:id="66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[1] Julia Documentation: https://docs.julialang.org/en/v1/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 по дисциплине Компьютерный практикум по статистическому анализу данных</dc:title>
  <dc:creator>Шаповалова Диана Дмитриевна</dc:creator>
  <dc:language>ru-RU</dc:language>
  <cp:keywords/>
  <dcterms:created xsi:type="dcterms:W3CDTF">2024-11-15T09:17:20Z</dcterms:created>
  <dcterms:modified xsi:type="dcterms:W3CDTF">2024-11-15T09:17:20Z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Julia. Установка и настройка. Основные принципы.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