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val="false"/>
          <w:bCs w:val="false"/>
          <w:color w:val="2E5BBD"/>
          <w:sz w:val="22"/>
          <w:szCs w:val="22"/>
        </w:rPr>
        <w:t xml:space="preserve">CC6004 Network and Cloud Security</w:t>
      </w:r>
    </w:p>
    <w:p>
      <w:pPr>
        <w:spacing w:after="160"/>
        <w:jc w:val="center"/>
      </w:pPr>
      <w:r>
        <w:rPr>
          <w:rFonts w:ascii="Arial" w:cs="Arial" w:eastAsia="Arial" w:hAnsi="Arial"/>
          <w:b/>
          <w:bCs/>
          <w:color w:val="1A2744"/>
          <w:sz w:val="36"/>
          <w:szCs w:val="36"/>
        </w:rPr>
        <w:t xml:space="preserve">Reflective Summary on the Impact of Research Skills</w:t>
      </w:r>
    </w:p>
    <w:p>
      <w:pPr>
        <w:spacing w:after="160"/>
        <w:jc w:val="center"/>
      </w:pPr>
      <w:r>
        <w:rPr>
          <w:rFonts w:ascii="Arial" w:cs="Arial" w:eastAsia="Arial" w:hAnsi="Arial"/>
          <w:b/>
          <w:bCs/>
          <w:color w:val="1A2744"/>
          <w:sz w:val="36"/>
          <w:szCs w:val="36"/>
        </w:rPr>
        <w:t xml:space="preserve">and Report Writing Sessions</w:t>
      </w:r>
    </w:p>
    <w:p>
      <w:r>
        <w:t xml:space="preserve"/>
      </w:r>
    </w:p>
    <w:p>
      <w:pPr>
        <w:pBdr>
          <w:bottom w:val="single" w:color="2E5BBD" w:sz="4" w:space="4"/>
        </w:pBdr>
      </w:pPr>
      <w:r>
        <w:t xml:space="preserve"/>
      </w:r>
    </w:p>
    <w:p>
      <w:r>
        <w:t xml:space="preserve"/>
      </w:r>
    </w:p>
    <w:p>
      <w:pPr>
        <w:spacing w:after="160"/>
        <w:jc w:val="center"/>
      </w:pPr>
      <w:r>
        <w:rPr>
          <w:rFonts w:ascii="Arial" w:cs="Arial" w:eastAsia="Arial" w:hAnsi="Arial"/>
          <w:b w:val="false"/>
          <w:bCs w:val="false"/>
          <w:color w:val="6B7A90"/>
          <w:sz w:val="18"/>
          <w:szCs w:val="18"/>
        </w:rPr>
        <w:t xml:space="preserve">Group: MLDSC Project  |  Academic Year: 2025–26  |  Submitted: April 2026</w:t>
      </w:r>
    </w:p>
    <w:p>
      <w:r>
        <w:t xml:space="preserve"/>
      </w:r>
    </w:p>
    <w:p>
      <w:pPr>
        <w:pStyle w:val="Heading1"/>
      </w:pPr>
      <w:r>
        <w:t xml:space="preserve">Overview</w:t>
      </w:r>
    </w:p>
    <w:p>
      <w:pPr>
        <w:spacing w:after="160"/>
        <w:jc w:val="both"/>
      </w:pPr>
      <w:r>
        <w:rPr>
          <w:rFonts w:ascii="Arial" w:cs="Arial" w:eastAsia="Arial" w:hAnsi="Arial"/>
          <w:b w:val="false"/>
          <w:bCs w:val="false"/>
          <w:color w:val="1E2A3A"/>
          <w:sz w:val="22"/>
          <w:szCs w:val="22"/>
        </w:rPr>
        <w:t xml:space="preserve">As a group of ten students working on the design and implementation of an original encryption algorithm for CC6004 Network and Cloud Security at London Metropolitan University, we found the research skills and report writing sessions delivered during the module to be genuinely valuable in improving the quality of our project. These sessions equipped us with essential techniques for finding and evaluating academic sources, citing them correctly, and presenting complex technical findings in a structured and professional way.</w:t>
      </w:r>
    </w:p>
    <w:p>
      <w:pPr>
        <w:pStyle w:val="Heading1"/>
      </w:pPr>
      <w:r>
        <w:t xml:space="preserve">Use of Library and Research Skills</w:t>
      </w:r>
    </w:p>
    <w:p>
      <w:pPr>
        <w:spacing w:after="160"/>
        <w:jc w:val="both"/>
      </w:pPr>
      <w:r>
        <w:rPr>
          <w:rFonts w:ascii="Arial" w:cs="Arial" w:eastAsia="Arial" w:hAnsi="Arial"/>
          <w:b w:val="false"/>
          <w:bCs w:val="false"/>
          <w:color w:val="1E2A3A"/>
          <w:sz w:val="22"/>
          <w:szCs w:val="22"/>
        </w:rPr>
        <w:t xml:space="preserve">The library session, delivered by Subject Librarian Lynn, introduced us to the academic databases available through LMU — in particular IEEE Xplore, Springer, ACM Digital Library, and Google Scholar. Before attending this session, several group members had defaulted to general web searches when looking for background information on cryptographic algorithms. After the session, we were able to use Boolean search operators ("AND", "OR", "NOT") and database filters (date range, peer-reviewed only, full-text available) to retrieve precise and credible sources.</w:t>
      </w:r>
    </w:p>
    <w:p>
      <w:pPr>
        <w:spacing w:after="160"/>
        <w:jc w:val="both"/>
      </w:pPr>
      <w:r>
        <w:rPr>
          <w:rFonts w:ascii="Arial" w:cs="Arial" w:eastAsia="Arial" w:hAnsi="Arial"/>
          <w:b w:val="false"/>
          <w:bCs w:val="false"/>
          <w:color w:val="1E2A3A"/>
          <w:sz w:val="22"/>
          <w:szCs w:val="22"/>
        </w:rPr>
        <w:t xml:space="preserve">For example, searching "Caesar cipher AND frequency analysis AND cryptanalysis" returned targeted academic papers rather than general explanations. This directly improved Section 2 of our report, where each cipher is analysed using peer-reviewed literature rather than informal sources. Muzhgan Kharoti (22001222) led this effort, sourcing the Damico (2009) historical reference and the Singh (2000) analysis of Vigenère through library databases.</w:t>
      </w:r>
    </w:p>
    <w:p>
      <w:pPr>
        <w:spacing w:after="160"/>
        <w:jc w:val="both"/>
      </w:pPr>
      <w:r>
        <w:rPr>
          <w:rFonts w:ascii="Arial" w:cs="Arial" w:eastAsia="Arial" w:hAnsi="Arial"/>
          <w:b w:val="false"/>
          <w:bCs w:val="false"/>
          <w:color w:val="1E2A3A"/>
          <w:sz w:val="22"/>
          <w:szCs w:val="22"/>
        </w:rPr>
        <w:t xml:space="preserve">Dumitru Doris Tanase (22041369) used the NIST publications portal to access FIPS 197 (the official AES standard document) and FIPS 202 (SHA-3 standard), which were cited directly in the cipher design section. Without the session guidance on identifying and accessing primary technical standards, these would have been missed.</w:t>
      </w:r>
    </w:p>
    <w:p>
      <w:pPr>
        <w:pStyle w:val="Heading1"/>
      </w:pPr>
      <w:r>
        <w:t xml:space="preserve">Application of Report Writing Techniques</w:t>
      </w:r>
    </w:p>
    <w:p>
      <w:pPr>
        <w:spacing w:after="160"/>
        <w:jc w:val="both"/>
      </w:pPr>
      <w:r>
        <w:rPr>
          <w:rFonts w:ascii="Arial" w:cs="Arial" w:eastAsia="Arial" w:hAnsi="Arial"/>
          <w:b w:val="false"/>
          <w:bCs w:val="false"/>
          <w:color w:val="1E2A3A"/>
          <w:sz w:val="22"/>
          <w:szCs w:val="22"/>
        </w:rPr>
        <w:t xml:space="preserve">The report writing session emphasised three key practices that we applied throughout: writing with clarity and precision for a technical audience; structuring arguments from general to specific within each section; and using hedging language appropriately when making claims about security properties.</w:t>
      </w:r>
    </w:p>
    <w:p>
      <w:pPr>
        <w:spacing w:after="160"/>
        <w:jc w:val="both"/>
      </w:pPr>
      <w:r>
        <w:rPr>
          <w:rFonts w:ascii="Arial" w:cs="Arial" w:eastAsia="Arial" w:hAnsi="Arial"/>
          <w:b w:val="false"/>
          <w:bCs w:val="false"/>
          <w:color w:val="1E2A3A"/>
          <w:sz w:val="22"/>
          <w:szCs w:val="22"/>
        </w:rPr>
        <w:t xml:space="preserve">Oluwademilade Soyoye (23055423), our Documentation Lead, used the Academic Phrasebank (University of Manchester, 2023) to ensure consistent formal register throughout the report. Phrases such as "this section demonstrates that..." and "the evidence suggests that..." replace informal equivalents that would have been used otherwise. The report structure — introduction, literature review, design, implementation, evaluation, ethics, project management, reflection, evaluation, recommendations, conclusion — directly follows the template and the academic writing guidance provided.</w:t>
      </w:r>
    </w:p>
    <w:p>
      <w:pPr>
        <w:spacing w:after="160"/>
        <w:jc w:val="both"/>
      </w:pPr>
      <w:r>
        <w:rPr>
          <w:rFonts w:ascii="Arial" w:cs="Arial" w:eastAsia="Arial" w:hAnsi="Arial"/>
          <w:b w:val="false"/>
          <w:bCs w:val="false"/>
          <w:color w:val="1E2A3A"/>
          <w:sz w:val="22"/>
          <w:szCs w:val="22"/>
        </w:rPr>
        <w:t xml:space="preserve">The session on writing technical explanations for non-specialist readers also influenced how we described the cipher operations. Each layer is explained first in plain language before the formal mathematical notation is introduced, making the report accessible to readers who may not have a deep cryptography background.</w:t>
      </w:r>
    </w:p>
    <w:p>
      <w:pPr>
        <w:pStyle w:val="Heading1"/>
      </w:pPr>
      <w:r>
        <w:t xml:space="preserve">Harvard Referencing</w:t>
      </w:r>
    </w:p>
    <w:p>
      <w:pPr>
        <w:spacing w:after="160"/>
        <w:jc w:val="both"/>
      </w:pPr>
      <w:r>
        <w:rPr>
          <w:rFonts w:ascii="Arial" w:cs="Arial" w:eastAsia="Arial" w:hAnsi="Arial"/>
          <w:b w:val="false"/>
          <w:bCs w:val="false"/>
          <w:color w:val="1E2A3A"/>
          <w:sz w:val="22"/>
          <w:szCs w:val="22"/>
        </w:rPr>
        <w:t xml:space="preserve">The referencing session covered the Harvard referencing style in detail, including in-text citations, reference list formatting, and the difference between direct quotations and paraphrasing. All group members used RefWorks to collect and manage references throughout the project.</w:t>
      </w:r>
    </w:p>
    <w:p>
      <w:pPr>
        <w:spacing w:after="160"/>
        <w:jc w:val="both"/>
      </w:pPr>
      <w:r>
        <w:rPr>
          <w:rFonts w:ascii="Arial" w:cs="Arial" w:eastAsia="Arial" w:hAnsi="Arial"/>
          <w:b w:val="false"/>
          <w:bCs w:val="false"/>
          <w:color w:val="1E2A3A"/>
          <w:sz w:val="22"/>
          <w:szCs w:val="22"/>
        </w:rPr>
        <w:t xml:space="preserve">We applied Harvard referencing consistently across all 14 sources cited in the report. No source has been included in the reference list without being read; this was a group rule established after the referencing session emphasised that citing unread sources constitutes academic dishonesty. Where we initially found useful information in secondary sources, we traced back to the primary source (for example, finding the original Shannon (1949) Bell Systems paper rather than citing a textbook's description of it).</w:t>
      </w:r>
    </w:p>
    <w:p>
      <w:pPr>
        <w:pStyle w:val="Heading1"/>
      </w:pPr>
      <w:r>
        <w:t xml:space="preserve">Attendance and Engagement</w:t>
      </w:r>
    </w:p>
    <w:p>
      <w:pPr>
        <w:spacing w:after="160"/>
        <w:jc w:val="both"/>
      </w:pPr>
      <w:r>
        <w:rPr>
          <w:rFonts w:ascii="Arial" w:cs="Arial" w:eastAsia="Arial" w:hAnsi="Arial"/>
          <w:b w:val="false"/>
          <w:bCs w:val="false"/>
          <w:color w:val="1E2A3A"/>
          <w:sz w:val="22"/>
          <w:szCs w:val="22"/>
        </w:rPr>
        <w:t xml:space="preserve">Overall group attendance across all academic skills sessions was approximately 88%. All ten members attended the library database and Harvard referencing sessions, which had the most direct impact on report quality. Two members (Gemechu Jule and Ryan) were absent from one group work session each due to personal commitments, but both caught up using the session materials shared on WebLearn.</w:t>
      </w:r>
    </w:p>
    <w:p>
      <w:pPr>
        <w:spacing w:after="160"/>
        <w:jc w:val="both"/>
      </w:pPr>
      <w:r>
        <w:rPr>
          <w:rFonts w:ascii="Arial" w:cs="Arial" w:eastAsia="Arial" w:hAnsi="Arial"/>
          <w:b w:val="false"/>
          <w:bCs w:val="false"/>
          <w:color w:val="1E2A3A"/>
          <w:sz w:val="22"/>
          <w:szCs w:val="22"/>
        </w:rPr>
        <w:t xml:space="preserve">The sessions encouraged active participation and group discussion. Maarya Raja (21003926) took detailed notes during the sessions and shared summaries via the group WhatsApp channel, ensuring members who were present could refresh their understanding during the report writing phase.</w:t>
      </w:r>
    </w:p>
    <w:p>
      <w:pPr>
        <w:pStyle w:val="Heading2"/>
      </w:pPr>
      <w:r>
        <w:t xml:space="preserve">Attendance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26"/>
        <w:gridCol w:w="1300"/>
        <w:gridCol w:w="1700"/>
        <w:gridCol w:w="1500"/>
      </w:tblGrid>
      <w:tr>
        <w:tc>
          <w:tcPr>
            <w:tcW w:type="dxa" w:w="24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0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126"/>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Referencing</w:t>
            </w:r>
          </w:p>
        </w:tc>
        <w:tc>
          <w:tcPr>
            <w:tcW w:type="dxa" w:w="13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Group Work</w:t>
            </w:r>
          </w:p>
        </w:tc>
        <w:tc>
          <w:tcPr>
            <w:tcW w:type="dxa" w:w="17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Careers</w:t>
            </w:r>
          </w:p>
        </w:tc>
        <w:tc>
          <w:tcPr>
            <w:tcW w:type="dxa" w:w="1500"/>
            <w:tcBorders>
              <w:top w:val="single" w:color="C5D0E0" w:sz="1"/>
              <w:left w:val="single" w:color="C5D0E0" w:sz="1"/>
              <w:bottom w:val="single" w:color="C5D0E0" w:sz="1"/>
              <w:right w:val="single" w:color="C5D0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Attended</w:t>
            </w:r>
          </w:p>
        </w:tc>
      </w:tr>
      <w:tr>
        <w:tc>
          <w:tcPr>
            <w:tcW w:type="dxa" w:w="24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Shivas Pillai</w:t>
            </w:r>
          </w:p>
        </w:tc>
        <w:tc>
          <w:tcPr>
            <w:tcW w:type="dxa" w:w="1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Oluwademilade Soyoye</w:t>
            </w:r>
          </w:p>
        </w:tc>
        <w:tc>
          <w:tcPr>
            <w:tcW w:type="dxa" w:w="1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Halima Khan</w:t>
            </w:r>
          </w:p>
        </w:tc>
        <w:tc>
          <w:tcPr>
            <w:tcW w:type="dxa" w:w="1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Muzhgan Kharoti</w:t>
            </w:r>
          </w:p>
        </w:tc>
        <w:tc>
          <w:tcPr>
            <w:tcW w:type="dxa" w:w="1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Maarya Raja</w:t>
            </w:r>
          </w:p>
        </w:tc>
        <w:tc>
          <w:tcPr>
            <w:tcW w:type="dxa" w:w="1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M. Abdullah Farooq</w:t>
            </w:r>
          </w:p>
        </w:tc>
        <w:tc>
          <w:tcPr>
            <w:tcW w:type="dxa" w:w="1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Gemechu Jule</w:t>
            </w:r>
          </w:p>
        </w:tc>
        <w:tc>
          <w:tcPr>
            <w:tcW w:type="dxa" w:w="1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No</w:t>
            </w:r>
          </w:p>
        </w:tc>
        <w:tc>
          <w:tcPr>
            <w:tcW w:type="dxa" w:w="17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3/4</w:t>
            </w:r>
          </w:p>
        </w:tc>
      </w:tr>
      <w:tr>
        <w:tc>
          <w:tcPr>
            <w:tcW w:type="dxa" w:w="24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Sabeeh Tayyab</w:t>
            </w:r>
          </w:p>
        </w:tc>
        <w:tc>
          <w:tcPr>
            <w:tcW w:type="dxa" w:w="1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Dumitru Doris Tanase</w:t>
            </w:r>
          </w:p>
        </w:tc>
        <w:tc>
          <w:tcPr>
            <w:tcW w:type="dxa" w:w="10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7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FFFFFF"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4/4</w:t>
            </w:r>
          </w:p>
        </w:tc>
      </w:tr>
      <w:tr>
        <w:tc>
          <w:tcPr>
            <w:tcW w:type="dxa" w:w="24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left"/>
            </w:pPr>
            <w:r>
              <w:rPr>
                <w:rFonts w:ascii="Arial" w:cs="Arial" w:eastAsia="Arial" w:hAnsi="Arial"/>
                <w:b w:val="false"/>
                <w:bCs w:val="false"/>
                <w:color w:val="1E2A3A"/>
                <w:sz w:val="20"/>
                <w:szCs w:val="20"/>
              </w:rPr>
              <w:t xml:space="preserve">Ryan</w:t>
            </w:r>
          </w:p>
        </w:tc>
        <w:tc>
          <w:tcPr>
            <w:tcW w:type="dxa" w:w="10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126"/>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3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No</w:t>
            </w:r>
          </w:p>
        </w:tc>
        <w:tc>
          <w:tcPr>
            <w:tcW w:type="dxa" w:w="17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val="false"/>
                <w:bCs w:val="false"/>
                <w:color w:val="1E2A3A"/>
                <w:sz w:val="20"/>
                <w:szCs w:val="20"/>
              </w:rPr>
              <w:t xml:space="preserve">Yes</w:t>
            </w:r>
          </w:p>
        </w:tc>
        <w:tc>
          <w:tcPr>
            <w:tcW w:type="dxa" w:w="1500"/>
            <w:tcBorders>
              <w:top w:val="single" w:color="C5D0E0" w:sz="1"/>
              <w:left w:val="single" w:color="C5D0E0" w:sz="1"/>
              <w:bottom w:val="single" w:color="C5D0E0" w:sz="1"/>
              <w:right w:val="single" w:color="C5D0E0" w:sz="1"/>
            </w:tcBorders>
            <w:shd w:fill="EEF3FA" w:val="clear"/>
            <w:tcMar>
              <w:top w:type="dxa" w:w="80"/>
              <w:left w:type="dxa" w:w="120"/>
              <w:bottom w:type="dxa" w:w="80"/>
              <w:right w:type="dxa" w:w="120"/>
            </w:tcMar>
            <w:vAlign w:val="top"/>
          </w:tcPr>
          <w:p>
            <w:pPr>
              <w:jc w:val="center"/>
            </w:pPr>
            <w:r>
              <w:rPr>
                <w:rFonts w:ascii="Arial" w:cs="Arial" w:eastAsia="Arial" w:hAnsi="Arial"/>
                <w:b/>
                <w:bCs/>
                <w:color w:val="1E2A3A"/>
                <w:sz w:val="20"/>
                <w:szCs w:val="20"/>
              </w:rPr>
              <w:t xml:space="preserve">3/4</w:t>
            </w:r>
          </w:p>
        </w:tc>
      </w:tr>
    </w:tbl>
    <w:p>
      <w:pPr>
        <w:spacing w:after="240" w:before="80"/>
        <w:jc w:val="center"/>
      </w:pPr>
      <w:r>
        <w:rPr>
          <w:rFonts w:ascii="Arial" w:cs="Arial" w:eastAsia="Arial" w:hAnsi="Arial"/>
          <w:color w:val="6B7A90"/>
          <w:sz w:val="18"/>
          <w:szCs w:val="18"/>
        </w:rPr>
        <w:t xml:space="preserve">Table 1: Attendance record across academic skills sessions</w:t>
      </w:r>
    </w:p>
    <w:p>
      <w:pPr>
        <w:spacing w:after="160"/>
        <w:jc w:val="both"/>
      </w:pPr>
      <w:r>
        <w:rPr>
          <w:rFonts w:ascii="Arial" w:cs="Arial" w:eastAsia="Arial" w:hAnsi="Arial"/>
          <w:b w:val="false"/>
          <w:bCs w:val="false"/>
          <w:color w:val="1E2A3A"/>
          <w:sz w:val="22"/>
          <w:szCs w:val="22"/>
        </w:rPr>
        <w:t xml:space="preserve">Attendance rate: 38 sessions attended out of a possible 40 (10 members × 4 sessions) = 95%.</w:t>
      </w:r>
    </w:p>
    <w:p>
      <w:pPr>
        <w:pStyle w:val="Heading1"/>
      </w:pPr>
      <w:r>
        <w:t xml:space="preserve">Overall Impact on the Coursework</w:t>
      </w:r>
    </w:p>
    <w:p>
      <w:pPr>
        <w:spacing w:after="160"/>
        <w:jc w:val="both"/>
      </w:pPr>
      <w:r>
        <w:rPr>
          <w:rFonts w:ascii="Arial" w:cs="Arial" w:eastAsia="Arial" w:hAnsi="Arial"/>
          <w:b w:val="false"/>
          <w:bCs w:val="false"/>
          <w:color w:val="1E2A3A"/>
          <w:sz w:val="22"/>
          <w:szCs w:val="22"/>
        </w:rPr>
        <w:t xml:space="preserve">The academic skills sessions had a measurable positive impact on our project. The library session produced a more rigorously sourced literature review. The referencing session produced a correctly formatted reference list with 14 verified sources. The report writing session produced a structured, formally written document that addresses all marking criteria in sequence.</w:t>
      </w:r>
    </w:p>
    <w:p>
      <w:pPr>
        <w:spacing w:after="160"/>
        <w:jc w:val="both"/>
      </w:pPr>
      <w:r>
        <w:rPr>
          <w:rFonts w:ascii="Arial" w:cs="Arial" w:eastAsia="Arial" w:hAnsi="Arial"/>
          <w:b w:val="false"/>
          <w:bCs w:val="false"/>
          <w:color w:val="1E2A3A"/>
          <w:sz w:val="22"/>
          <w:szCs w:val="22"/>
        </w:rPr>
        <w:t xml:space="preserve">Beyond the individual sections, the sessions collectively raised the group's standards for academic work. The expectation that every claim must be supported by a cited source, that informal language should be replaced with precise academic register, and that structure should guide the reader clearly through the argument — all of these were reinforced in the sessions and applied throughout the report.</w:t>
      </w:r>
    </w:p>
    <w:p>
      <w:pPr>
        <w:spacing w:after="160"/>
        <w:jc w:val="both"/>
      </w:pPr>
      <w:r>
        <w:rPr>
          <w:rFonts w:ascii="Arial" w:cs="Arial" w:eastAsia="Arial" w:hAnsi="Arial"/>
          <w:b w:val="false"/>
          <w:bCs w:val="false"/>
          <w:color w:val="1E2A3A"/>
          <w:sz w:val="22"/>
          <w:szCs w:val="22"/>
        </w:rPr>
        <w:t xml:space="preserve">The group is confident that the academic skills sessions were a significant factor in the quality of the final submission, and would recommend that future cohorts engage with these sessions as early in the project timeline as possible.</w:t>
      </w:r>
    </w:p>
    <w:p>
      <w:r>
        <w:t xml:space="preserve"/>
      </w:r>
    </w:p>
    <w:p>
      <w:pPr>
        <w:pBdr>
          <w:bottom w:val="single" w:color="2E5BBD" w:sz="4" w:space="4"/>
        </w:pBdr>
      </w:pPr>
      <w:r>
        <w:t xml:space="preserve"/>
      </w:r>
    </w:p>
    <w:p>
      <w:pPr>
        <w:spacing w:after="160"/>
        <w:jc w:val="center"/>
      </w:pPr>
      <w:r>
        <w:rPr>
          <w:rFonts w:ascii="Arial" w:cs="Arial" w:eastAsia="Arial" w:hAnsi="Arial"/>
          <w:b w:val="false"/>
          <w:bCs w:val="false"/>
          <w:color w:val="6B7A90"/>
          <w:sz w:val="18"/>
          <w:szCs w:val="18"/>
        </w:rPr>
        <w:t xml:space="preserve">End of Reflective Summary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BD" w:sz="4" w:space="4"/>
      </w:pBdr>
      <w:jc w:val="center"/>
    </w:pPr>
    <w:r>
      <w:rPr>
        <w:color w:val="6B7A90"/>
        <w:sz w:val="18"/>
        <w:szCs w:val="18"/>
      </w:rPr>
      <w:t xml:space="preserve">Page </w:t>
    </w:r>
    <w:r>
      <w:rPr>
        <w:color w:val="6B7A90"/>
        <w:sz w:val="18"/>
        <w:szCs w:val="18"/>
      </w:rPr>
      <w:fldChar w:fldCharType="begin"/>
      <w:instrText xml:space="preserve">PAGE</w:instrText>
      <w:fldChar w:fldCharType="separate"/>
      <w:fldChar w:fldCharType="end"/>
    </w:r>
    <w:r>
      <w:rPr>
        <w:color w:val="6B7A90"/>
        <w:sz w:val="18"/>
        <w:szCs w:val="18"/>
      </w:rPr>
      <w:t xml:space="preserve"> of </w:t>
    </w:r>
    <w:r>
      <w:rPr>
        <w:color w:val="6B7A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BD" w:sz="4" w:space="4"/>
      </w:pBdr>
    </w:pPr>
    <w:r>
      <w:rPr>
        <w:rFonts w:ascii="Arial" w:cs="Arial" w:eastAsia="Arial" w:hAnsi="Arial"/>
        <w:color w:val="6B7A90"/>
        <w:sz w:val="18"/>
        <w:szCs w:val="18"/>
      </w:rPr>
      <w:t xml:space="preserve">CC6004 — Reflective Summary — Academic Skills Sessions</w:t>
    </w:r>
    <w:r>
      <w:rPr>
        <w:sz w:val="18"/>
        <w:szCs w:val="18"/>
      </w:rPr>
      <w:t xml:space="preserve">			</w:t>
    </w:r>
    <w:r>
      <w:rPr>
        <w:rFonts w:ascii="Arial" w:cs="Arial" w:eastAsia="Arial" w:hAnsi="Arial"/>
        <w:color w:val="6B7A90"/>
        <w:sz w:val="18"/>
        <w:szCs w:val="18"/>
      </w:rPr>
      <w:t xml:space="preserve">London Metropolitan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BD" w:sz="6" w:space="4"/>
      </w:pBdr>
      <w:spacing w:after="200" w:before="400"/>
      <w:outlineLvl w:val="0"/>
    </w:pPr>
    <w:rPr>
      <w:rFonts w:ascii="Arial" w:cs="Arial" w:eastAsia="Arial" w:hAnsi="Arial"/>
      <w:b/>
      <w:bCs/>
      <w:color w:val="1A274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BB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B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2026-04-16T00:15:22.646Z</dcterms:created>
  <dcterms:modified xsi:type="dcterms:W3CDTF">2026-04-16T00:15:22.646Z</dcterms:modified>
</cp:coreProperties>
</file>

<file path=docProps/custom.xml><?xml version="1.0" encoding="utf-8"?>
<Properties xmlns="http://schemas.openxmlformats.org/officeDocument/2006/custom-properties" xmlns:vt="http://schemas.openxmlformats.org/officeDocument/2006/docPropsVTypes"/>
</file>