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val="false"/>
          <w:bCs w:val="false"/>
          <w:color w:val="2E5BBD"/>
          <w:sz w:val="22"/>
          <w:szCs w:val="22"/>
        </w:rPr>
        <w:t xml:space="preserve">CC6004 Network and Cloud Security</w:t>
      </w:r>
    </w:p>
    <w:p>
      <w:pPr>
        <w:spacing w:after="160"/>
        <w:jc w:val="center"/>
      </w:pPr>
      <w:r>
        <w:rPr>
          <w:rFonts w:ascii="Arial" w:cs="Arial" w:eastAsia="Arial" w:hAnsi="Arial"/>
          <w:b/>
          <w:bCs/>
          <w:color w:val="1A2744"/>
          <w:sz w:val="48"/>
          <w:szCs w:val="48"/>
        </w:rPr>
        <w:t xml:space="preserve">Research Log</w:t>
      </w:r>
    </w:p>
    <w:p>
      <w:pPr>
        <w:spacing w:after="160"/>
        <w:jc w:val="center"/>
      </w:pPr>
      <w:r>
        <w:rPr>
          <w:rFonts w:ascii="Arial" w:cs="Arial" w:eastAsia="Arial" w:hAnsi="Arial"/>
          <w:b w:val="false"/>
          <w:bCs w:val="false"/>
          <w:color w:val="2E5BBD"/>
          <w:sz w:val="24"/>
          <w:szCs w:val="24"/>
        </w:rPr>
        <w:t xml:space="preserve">Multi-Layer Dynamic Shift Cipher (MLDSC)</w:t>
      </w:r>
    </w:p>
    <w:p>
      <w:r>
        <w:t xml:space="preserve"/>
      </w:r>
    </w:p>
    <w:p>
      <w:pPr>
        <w:pBdr>
          <w:bottom w:val="single" w:color="2E5BBD" w:sz="4" w:space="4"/>
        </w:pBdr>
      </w:pPr>
      <w:r>
        <w:t xml:space="preserve"/>
      </w:r>
    </w:p>
    <w:p>
      <w:r>
        <w:t xml:space="preserve"/>
      </w:r>
    </w:p>
    <w:p>
      <w:pPr>
        <w:spacing w:after="160"/>
        <w:jc w:val="center"/>
      </w:pPr>
      <w:r>
        <w:rPr>
          <w:rFonts w:ascii="Arial" w:cs="Arial" w:eastAsia="Arial" w:hAnsi="Arial"/>
          <w:b w:val="false"/>
          <w:bCs w:val="false"/>
          <w:color w:val="6B7A90"/>
          <w:sz w:val="18"/>
          <w:szCs w:val="18"/>
        </w:rPr>
        <w:t xml:space="preserve">Lead Researcher: Muzhgan Kharoti (22001222)  |  All members contributed</w:t>
      </w:r>
    </w:p>
    <w:p>
      <w:pPr>
        <w:spacing w:after="160"/>
        <w:jc w:val="center"/>
      </w:pPr>
      <w:r>
        <w:rPr>
          <w:rFonts w:ascii="Arial" w:cs="Arial" w:eastAsia="Arial" w:hAnsi="Arial"/>
          <w:b w:val="false"/>
          <w:bCs w:val="false"/>
          <w:color w:val="6B7A90"/>
          <w:sz w:val="18"/>
          <w:szCs w:val="18"/>
        </w:rPr>
        <w:t xml:space="preserve">Period: February – April 2026</w:t>
      </w:r>
    </w:p>
    <w:p>
      <w:r>
        <w:br w:type="page"/>
      </w:r>
    </w:p>
    <w:p>
      <w:pPr>
        <w:pStyle w:val="Heading1"/>
      </w:pPr>
      <w:r>
        <w:t xml:space="preserve">1. Research Strategy</w:t>
      </w:r>
    </w:p>
    <w:p>
      <w:pPr>
        <w:spacing w:after="160"/>
        <w:jc w:val="both"/>
      </w:pPr>
      <w:r>
        <w:rPr>
          <w:rFonts w:ascii="Arial" w:cs="Arial" w:eastAsia="Arial" w:hAnsi="Arial"/>
          <w:b w:val="false"/>
          <w:bCs w:val="false"/>
          <w:color w:val="1E2A3A"/>
          <w:sz w:val="22"/>
          <w:szCs w:val="22"/>
        </w:rPr>
        <w:t xml:space="preserve">This document records the research process undertaken by the group in support of the CC6004 MLDSC project. It captures the databases used, search terms applied, sources reviewed, and the key findings extracted from each source that directly influenced the cipher design.</w:t>
      </w:r>
    </w:p>
    <w:p>
      <w:pPr>
        <w:spacing w:after="160"/>
        <w:jc w:val="both"/>
      </w:pPr>
      <w:r>
        <w:rPr>
          <w:rFonts w:ascii="Arial" w:cs="Arial" w:eastAsia="Arial" w:hAnsi="Arial"/>
          <w:b w:val="false"/>
          <w:bCs w:val="false"/>
          <w:color w:val="1E2A3A"/>
          <w:sz w:val="22"/>
          <w:szCs w:val="22"/>
        </w:rPr>
        <w:t xml:space="preserve">The research strategy followed three phases: background reading on classical ciphers, deep study of modern symmetric algorithms, and targeted search for cryptographic hash functions suitable for use in a key schedule.</w:t>
      </w:r>
    </w:p>
    <w:p>
      <w:pPr>
        <w:pStyle w:val="Heading2"/>
      </w:pPr>
      <w:r>
        <w:t xml:space="preserve">1.1 Databases and Sources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26"/>
        <w:gridCol w:w="2500"/>
      </w:tblGrid>
      <w:tr>
        <w:tc>
          <w:tcPr>
            <w:tcW w:type="dxa" w:w="22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Database/Source</w:t>
            </w:r>
          </w:p>
        </w:tc>
        <w:tc>
          <w:tcPr>
            <w:tcW w:type="dxa" w:w="18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c>
          <w:tcPr>
            <w:tcW w:type="dxa" w:w="2526"/>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25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IEEE Xplore</w:t>
            </w:r>
          </w:p>
        </w:tc>
        <w:tc>
          <w:tcPr>
            <w:tcW w:type="dxa" w:w="18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LMU Library Portal</w:t>
            </w:r>
          </w:p>
        </w:tc>
        <w:tc>
          <w:tcPr>
            <w:tcW w:type="dxa" w:w="2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Muzhgan, Ryan, Dumitru</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Peer-reviewed cipher papers</w:t>
            </w:r>
          </w:p>
        </w:tc>
      </w:tr>
      <w:tr>
        <w:tc>
          <w:tcPr>
            <w:tcW w:type="dxa" w:w="22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Springer Link</w:t>
            </w:r>
          </w:p>
        </w:tc>
        <w:tc>
          <w:tcPr>
            <w:tcW w:type="dxa" w:w="18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LMU Library Portal</w:t>
            </w:r>
          </w:p>
        </w:tc>
        <w:tc>
          <w:tcPr>
            <w:tcW w:type="dxa" w:w="25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Abdullah, Sabeeh</w:t>
            </w:r>
          </w:p>
        </w:tc>
        <w:tc>
          <w:tcPr>
            <w:tcW w:type="dxa" w:w="2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Cryptography textbook chapters</w:t>
            </w:r>
          </w:p>
        </w:tc>
      </w:tr>
      <w:tr>
        <w:tc>
          <w:tcPr>
            <w:tcW w:type="dxa" w:w="22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ACM Digital Library</w:t>
            </w:r>
          </w:p>
        </w:tc>
        <w:tc>
          <w:tcPr>
            <w:tcW w:type="dxa" w:w="18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LMU Library Portal</w:t>
            </w:r>
          </w:p>
        </w:tc>
        <w:tc>
          <w:tcPr>
            <w:tcW w:type="dxa" w:w="2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Muzhgan, Gemechu</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Implementation reference papers</w:t>
            </w:r>
          </w:p>
        </w:tc>
      </w:tr>
      <w:tr>
        <w:tc>
          <w:tcPr>
            <w:tcW w:type="dxa" w:w="22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Google Scholar</w:t>
            </w:r>
          </w:p>
        </w:tc>
        <w:tc>
          <w:tcPr>
            <w:tcW w:type="dxa" w:w="18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Open access</w:t>
            </w:r>
          </w:p>
        </w:tc>
        <w:tc>
          <w:tcPr>
            <w:tcW w:type="dxa" w:w="25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All members</w:t>
            </w:r>
          </w:p>
        </w:tc>
        <w:tc>
          <w:tcPr>
            <w:tcW w:type="dxa" w:w="2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Initial broad search, citation tracking</w:t>
            </w:r>
          </w:p>
        </w:tc>
      </w:tr>
      <w:tr>
        <w:tc>
          <w:tcPr>
            <w:tcW w:type="dxa" w:w="22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NIST Publications Portal</w:t>
            </w:r>
          </w:p>
        </w:tc>
        <w:tc>
          <w:tcPr>
            <w:tcW w:type="dxa" w:w="18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nist.gov (open)</w:t>
            </w:r>
          </w:p>
        </w:tc>
        <w:tc>
          <w:tcPr>
            <w:tcW w:type="dxa" w:w="2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Dumitru</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FIPS 197 (AES), FIPS 202 (SHA-3)</w:t>
            </w:r>
          </w:p>
        </w:tc>
      </w:tr>
      <w:tr>
        <w:tc>
          <w:tcPr>
            <w:tcW w:type="dxa" w:w="22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ICO Website</w:t>
            </w:r>
          </w:p>
        </w:tc>
        <w:tc>
          <w:tcPr>
            <w:tcW w:type="dxa" w:w="18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ico.org.uk (open)</w:t>
            </w:r>
          </w:p>
        </w:tc>
        <w:tc>
          <w:tcPr>
            <w:tcW w:type="dxa" w:w="25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Abdullah</w:t>
            </w:r>
          </w:p>
        </w:tc>
        <w:tc>
          <w:tcPr>
            <w:tcW w:type="dxa" w:w="2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GDPR and encryption guidance</w:t>
            </w:r>
          </w:p>
        </w:tc>
      </w:tr>
      <w:tr>
        <w:tc>
          <w:tcPr>
            <w:tcW w:type="dxa" w:w="22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LMU Library Catalogue</w:t>
            </w:r>
          </w:p>
        </w:tc>
        <w:tc>
          <w:tcPr>
            <w:tcW w:type="dxa" w:w="18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LMU Library Portal</w:t>
            </w:r>
          </w:p>
        </w:tc>
        <w:tc>
          <w:tcPr>
            <w:tcW w:type="dxa" w:w="2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Maarya</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Physical books — Singh (2000), Stallings (2023)</w:t>
            </w:r>
          </w:p>
        </w:tc>
      </w:tr>
      <w:tr>
        <w:tc>
          <w:tcPr>
            <w:tcW w:type="dxa" w:w="22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BCS Website</w:t>
            </w:r>
          </w:p>
        </w:tc>
        <w:tc>
          <w:tcPr>
            <w:tcW w:type="dxa" w:w="18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bcs.org (open)</w:t>
            </w:r>
          </w:p>
        </w:tc>
        <w:tc>
          <w:tcPr>
            <w:tcW w:type="dxa" w:w="25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Abdullah</w:t>
            </w:r>
          </w:p>
        </w:tc>
        <w:tc>
          <w:tcPr>
            <w:tcW w:type="dxa" w:w="2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Code of Conduct document</w:t>
            </w:r>
          </w:p>
        </w:tc>
      </w:tr>
    </w:tbl>
    <w:p>
      <w:pPr>
        <w:spacing w:after="240" w:before="80"/>
        <w:jc w:val="center"/>
      </w:pPr>
      <w:r>
        <w:rPr>
          <w:rFonts w:ascii="Arial" w:cs="Arial" w:eastAsia="Arial" w:hAnsi="Arial"/>
          <w:color w:val="6B7A90"/>
          <w:sz w:val="18"/>
          <w:szCs w:val="18"/>
        </w:rPr>
        <w:t xml:space="preserve">Table 1: Research databases and sources used</w:t>
      </w:r>
    </w:p>
    <w:p>
      <w:pPr>
        <w:pStyle w:val="Heading2"/>
      </w:pPr>
      <w:r>
        <w:t xml:space="preserve">1.2 Search Terms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26"/>
        <w:gridCol w:w="1500"/>
        <w:gridCol w:w="2500"/>
      </w:tblGrid>
      <w:tr>
        <w:tc>
          <w:tcPr>
            <w:tcW w:type="dxa" w:w="15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3526"/>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Search Query</w:t>
            </w:r>
          </w:p>
        </w:tc>
        <w:tc>
          <w:tcPr>
            <w:tcW w:type="dxa" w:w="15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5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Muzhgan</w:t>
            </w:r>
          </w:p>
        </w:tc>
        <w:tc>
          <w:tcPr>
            <w:tcW w:type="dxa" w:w="3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"Caesar cipher" AND "frequency analysis"</w:t>
            </w:r>
          </w:p>
        </w:tc>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IEEE</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4 relevant papers found</w:t>
            </w:r>
          </w:p>
        </w:tc>
      </w:tr>
      <w:tr>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Muzhgan</w:t>
            </w:r>
          </w:p>
        </w:tc>
        <w:tc>
          <w:tcPr>
            <w:tcW w:type="dxa" w:w="35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"Vigenère cipher" AND "Kasiski" AND "cryptanalysis"</w:t>
            </w:r>
          </w:p>
        </w:tc>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Google Scholar</w:t>
            </w:r>
          </w:p>
        </w:tc>
        <w:tc>
          <w:tcPr>
            <w:tcW w:type="dxa" w:w="2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3 papers including Singh (2000)</w:t>
            </w:r>
          </w:p>
        </w:tc>
      </w:tr>
      <w:tr>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Muzhgan</w:t>
            </w:r>
          </w:p>
        </w:tc>
        <w:tc>
          <w:tcPr>
            <w:tcW w:type="dxa" w:w="3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"classical ciphers" AND "history" AND "substitution"</w:t>
            </w:r>
          </w:p>
        </w:tc>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LMU Catalogue</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Damico (2009) identified</w:t>
            </w:r>
          </w:p>
        </w:tc>
      </w:tr>
      <w:tr>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Dumitru</w:t>
            </w:r>
          </w:p>
        </w:tc>
        <w:tc>
          <w:tcPr>
            <w:tcW w:type="dxa" w:w="35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"AES" AND "Rijndael" AND "FIPS 197"</w:t>
            </w:r>
          </w:p>
        </w:tc>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NIST Portal</w:t>
            </w:r>
          </w:p>
        </w:tc>
        <w:tc>
          <w:tcPr>
            <w:tcW w:type="dxa" w:w="2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FIPS 197 standard downloaded</w:t>
            </w:r>
          </w:p>
        </w:tc>
      </w:tr>
      <w:tr>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Dumitru</w:t>
            </w:r>
          </w:p>
        </w:tc>
        <w:tc>
          <w:tcPr>
            <w:tcW w:type="dxa" w:w="3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"SHA-256" AND "key derivation" AND "cryptographic"</w:t>
            </w:r>
          </w:p>
        </w:tc>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IEEE</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Key schedule approach confirmed</w:t>
            </w:r>
          </w:p>
        </w:tc>
      </w:tr>
      <w:tr>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Dumitru</w:t>
            </w:r>
          </w:p>
        </w:tc>
        <w:tc>
          <w:tcPr>
            <w:tcW w:type="dxa" w:w="35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"XOR cipher" AND "one-time pad" AND "stream cipher"</w:t>
            </w:r>
          </w:p>
        </w:tc>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Google Scholar</w:t>
            </w:r>
          </w:p>
        </w:tc>
        <w:tc>
          <w:tcPr>
            <w:tcW w:type="dxa" w:w="2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Shannon (1949) located</w:t>
            </w:r>
          </w:p>
        </w:tc>
      </w:tr>
      <w:tr>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Ryan</w:t>
            </w:r>
          </w:p>
        </w:tc>
        <w:tc>
          <w:tcPr>
            <w:tcW w:type="dxa" w:w="3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"RSA" AND "public key" AND "factoring"</w:t>
            </w:r>
          </w:p>
        </w:tc>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IEEE</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Rivest et al. (1978) located</w:t>
            </w:r>
          </w:p>
        </w:tc>
      </w:tr>
      <w:tr>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Ryan</w:t>
            </w:r>
          </w:p>
        </w:tc>
        <w:tc>
          <w:tcPr>
            <w:tcW w:type="dxa" w:w="35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"asymmetric encryption" AND "Shor algorithm" AND "quantum"</w:t>
            </w:r>
          </w:p>
        </w:tc>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Springer</w:t>
            </w:r>
          </w:p>
        </w:tc>
        <w:tc>
          <w:tcPr>
            <w:tcW w:type="dxa" w:w="2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Grassl et al. (2016) identified</w:t>
            </w:r>
          </w:p>
        </w:tc>
      </w:tr>
      <w:tr>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Abdullah</w:t>
            </w:r>
          </w:p>
        </w:tc>
        <w:tc>
          <w:tcPr>
            <w:tcW w:type="dxa" w:w="3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"encryption" AND "GDPR" AND "data protection"</w:t>
            </w:r>
          </w:p>
        </w:tc>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ICO website</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ICO (2021) guidance retrieved</w:t>
            </w:r>
          </w:p>
        </w:tc>
      </w:tr>
      <w:tr>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Abdullah</w:t>
            </w:r>
          </w:p>
        </w:tc>
        <w:tc>
          <w:tcPr>
            <w:tcW w:type="dxa" w:w="35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"BCS code of conduct" AND "professional ethics"</w:t>
            </w:r>
          </w:p>
        </w:tc>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bcs.org</w:t>
            </w:r>
          </w:p>
        </w:tc>
        <w:tc>
          <w:tcPr>
            <w:tcW w:type="dxa" w:w="2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BCS (2021) document downloaded</w:t>
            </w:r>
          </w:p>
        </w:tc>
      </w:tr>
      <w:tr>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Sabeeh</w:t>
            </w:r>
          </w:p>
        </w:tc>
        <w:tc>
          <w:tcPr>
            <w:tcW w:type="dxa" w:w="3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"black box testing" AND "cryptographic implementation"</w:t>
            </w:r>
          </w:p>
        </w:tc>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ACM</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Testing methodology confirmed</w:t>
            </w:r>
          </w:p>
        </w:tc>
      </w:tr>
      <w:tr>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Sabeeh</w:t>
            </w:r>
          </w:p>
        </w:tc>
        <w:tc>
          <w:tcPr>
            <w:tcW w:type="dxa" w:w="35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"cipher evaluation" AND "avalanche effect" AND "block cipher"</w:t>
            </w:r>
          </w:p>
        </w:tc>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IEEE</w:t>
            </w:r>
          </w:p>
        </w:tc>
        <w:tc>
          <w:tcPr>
            <w:tcW w:type="dxa" w:w="2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Weakness analysis informed</w:t>
            </w:r>
          </w:p>
        </w:tc>
      </w:tr>
    </w:tbl>
    <w:p>
      <w:pPr>
        <w:spacing w:after="240" w:before="80"/>
        <w:jc w:val="center"/>
      </w:pPr>
      <w:r>
        <w:rPr>
          <w:rFonts w:ascii="Arial" w:cs="Arial" w:eastAsia="Arial" w:hAnsi="Arial"/>
          <w:color w:val="6B7A90"/>
          <w:sz w:val="18"/>
          <w:szCs w:val="18"/>
        </w:rPr>
        <w:t xml:space="preserve">Table 2: Search terms log — all searches performed February–March 2026</w:t>
      </w:r>
    </w:p>
    <w:p>
      <w:r>
        <w:br w:type="page"/>
      </w:r>
    </w:p>
    <w:p>
      <w:pPr>
        <w:pStyle w:val="Heading1"/>
      </w:pPr>
      <w:r>
        <w:t xml:space="preserve">2. Source Evaluation Notes</w:t>
      </w:r>
    </w:p>
    <w:p>
      <w:pPr>
        <w:spacing w:after="160"/>
        <w:jc w:val="both"/>
      </w:pPr>
      <w:r>
        <w:rPr>
          <w:rFonts w:ascii="Arial" w:cs="Arial" w:eastAsia="Arial" w:hAnsi="Arial"/>
          <w:b w:val="false"/>
          <w:bCs w:val="false"/>
          <w:color w:val="1E2A3A"/>
          <w:sz w:val="22"/>
          <w:szCs w:val="22"/>
        </w:rPr>
        <w:t xml:space="preserve">Each major source was evaluated for credibility, relevance, and recency before inclusion in the report.</w:t>
      </w:r>
    </w:p>
    <w:p>
      <w:pPr>
        <w:pStyle w:val="Heading2"/>
      </w:pPr>
      <w:r>
        <w:t xml:space="preserve">2.1 Caesar Cipher — Damico (2009)</w:t>
      </w:r>
    </w:p>
    <w:p>
      <w:pPr>
        <w:spacing w:after="160"/>
        <w:jc w:val="both"/>
      </w:pPr>
      <w:r>
        <w:rPr>
          <w:rFonts w:ascii="Arial" w:cs="Arial" w:eastAsia="Arial" w:hAnsi="Arial"/>
          <w:b w:val="false"/>
          <w:bCs w:val="false"/>
          <w:color w:val="1E2A3A"/>
          <w:sz w:val="22"/>
          <w:szCs w:val="22"/>
        </w:rPr>
        <w:t xml:space="preserve">Source: Damico, T.M. (2009) A brief history of cryptography. Inquiries Journal, 1(11).</w:t>
      </w:r>
    </w:p>
    <w:p>
      <w:pPr>
        <w:pStyle w:val="ListParagraph"/>
        <w:numPr>
          <w:ilvl w:val="0"/>
          <w:numId w:val="2"/>
        </w:numPr>
        <w:spacing w:after="100"/>
      </w:pPr>
      <w:r>
        <w:rPr>
          <w:rFonts w:ascii="Arial" w:cs="Arial" w:eastAsia="Arial" w:hAnsi="Arial"/>
          <w:color w:val="1E2A3A"/>
          <w:sz w:val="22"/>
          <w:szCs w:val="22"/>
        </w:rPr>
        <w:t xml:space="preserve">Type: Peer-reviewed journal article.</w:t>
      </w:r>
    </w:p>
    <w:p>
      <w:pPr>
        <w:pStyle w:val="ListParagraph"/>
        <w:numPr>
          <w:ilvl w:val="0"/>
          <w:numId w:val="2"/>
        </w:numPr>
        <w:spacing w:after="100"/>
      </w:pPr>
      <w:r>
        <w:rPr>
          <w:rFonts w:ascii="Arial" w:cs="Arial" w:eastAsia="Arial" w:hAnsi="Arial"/>
          <w:color w:val="1E2A3A"/>
          <w:sz w:val="22"/>
          <w:szCs w:val="22"/>
        </w:rPr>
        <w:t xml:space="preserve">Credibility: Published in a refereed undergraduate research journal. Author is a recognised academic.</w:t>
      </w:r>
    </w:p>
    <w:p>
      <w:pPr>
        <w:pStyle w:val="ListParagraph"/>
        <w:numPr>
          <w:ilvl w:val="0"/>
          <w:numId w:val="2"/>
        </w:numPr>
        <w:spacing w:after="100"/>
      </w:pPr>
      <w:r>
        <w:rPr>
          <w:rFonts w:ascii="Arial" w:cs="Arial" w:eastAsia="Arial" w:hAnsi="Arial"/>
          <w:color w:val="1E2A3A"/>
          <w:sz w:val="22"/>
          <w:szCs w:val="22"/>
        </w:rPr>
        <w:t xml:space="preserve">Relevance: HIGH — provides historical context and first documented description of the Caesar Cipher.</w:t>
      </w:r>
    </w:p>
    <w:p>
      <w:pPr>
        <w:pStyle w:val="ListParagraph"/>
        <w:numPr>
          <w:ilvl w:val="0"/>
          <w:numId w:val="2"/>
        </w:numPr>
        <w:spacing w:after="100"/>
      </w:pPr>
      <w:r>
        <w:rPr>
          <w:rFonts w:ascii="Arial" w:cs="Arial" w:eastAsia="Arial" w:hAnsi="Arial"/>
          <w:color w:val="1E2A3A"/>
          <w:sz w:val="22"/>
          <w:szCs w:val="22"/>
        </w:rPr>
        <w:t xml:space="preserve">Key finding used: Caesar's cipher shifted letters by 3 positions. Military use confirmed circa 50 BCE.</w:t>
      </w:r>
    </w:p>
    <w:p>
      <w:pPr>
        <w:pStyle w:val="ListParagraph"/>
        <w:numPr>
          <w:ilvl w:val="0"/>
          <w:numId w:val="2"/>
        </w:numPr>
        <w:spacing w:after="100"/>
      </w:pPr>
      <w:r>
        <w:rPr>
          <w:rFonts w:ascii="Arial" w:cs="Arial" w:eastAsia="Arial" w:hAnsi="Arial"/>
          <w:color w:val="1E2A3A"/>
          <w:sz w:val="22"/>
          <w:szCs w:val="22"/>
        </w:rPr>
        <w:t xml:space="preserve">Limitation: Historical/descriptive; does not provide formal cryptanalysis.</w:t>
      </w:r>
    </w:p>
    <w:p>
      <w:pPr>
        <w:pStyle w:val="Heading2"/>
      </w:pPr>
      <w:r>
        <w:t xml:space="preserve">2.2 Vigenère Cipher — Singh (2000)</w:t>
      </w:r>
    </w:p>
    <w:p>
      <w:pPr>
        <w:spacing w:after="160"/>
        <w:jc w:val="both"/>
      </w:pPr>
      <w:r>
        <w:rPr>
          <w:rFonts w:ascii="Arial" w:cs="Arial" w:eastAsia="Arial" w:hAnsi="Arial"/>
          <w:b w:val="false"/>
          <w:bCs w:val="false"/>
          <w:color w:val="1E2A3A"/>
          <w:sz w:val="22"/>
          <w:szCs w:val="22"/>
        </w:rPr>
        <w:t xml:space="preserve">Source: Singh, S. (2000) The Code Book. New York: Anchor Books.</w:t>
      </w:r>
    </w:p>
    <w:p>
      <w:pPr>
        <w:pStyle w:val="ListParagraph"/>
        <w:numPr>
          <w:ilvl w:val="0"/>
          <w:numId w:val="2"/>
        </w:numPr>
        <w:spacing w:after="100"/>
      </w:pPr>
      <w:r>
        <w:rPr>
          <w:rFonts w:ascii="Arial" w:cs="Arial" w:eastAsia="Arial" w:hAnsi="Arial"/>
          <w:color w:val="1E2A3A"/>
          <w:sz w:val="22"/>
          <w:szCs w:val="22"/>
        </w:rPr>
        <w:t xml:space="preserve">Type: Academic book by a leading science communicator.</w:t>
      </w:r>
    </w:p>
    <w:p>
      <w:pPr>
        <w:pStyle w:val="ListParagraph"/>
        <w:numPr>
          <w:ilvl w:val="0"/>
          <w:numId w:val="2"/>
        </w:numPr>
        <w:spacing w:after="100"/>
      </w:pPr>
      <w:r>
        <w:rPr>
          <w:rFonts w:ascii="Arial" w:cs="Arial" w:eastAsia="Arial" w:hAnsi="Arial"/>
          <w:color w:val="1E2A3A"/>
          <w:sz w:val="22"/>
          <w:szCs w:val="22"/>
        </w:rPr>
        <w:t xml:space="preserve">Credibility: HIGH — Singh is a widely cited author in cryptography history. Published by major academic press.</w:t>
      </w:r>
    </w:p>
    <w:p>
      <w:pPr>
        <w:pStyle w:val="ListParagraph"/>
        <w:numPr>
          <w:ilvl w:val="0"/>
          <w:numId w:val="2"/>
        </w:numPr>
        <w:spacing w:after="100"/>
      </w:pPr>
      <w:r>
        <w:rPr>
          <w:rFonts w:ascii="Arial" w:cs="Arial" w:eastAsia="Arial" w:hAnsi="Arial"/>
          <w:color w:val="1E2A3A"/>
          <w:sz w:val="22"/>
          <w:szCs w:val="22"/>
        </w:rPr>
        <w:t xml:space="preserve">Relevance: HIGH — covers Vigenère development, Kasiski examination, and polyalphabetic principles directly.</w:t>
      </w:r>
    </w:p>
    <w:p>
      <w:pPr>
        <w:pStyle w:val="ListParagraph"/>
        <w:numPr>
          <w:ilvl w:val="0"/>
          <w:numId w:val="2"/>
        </w:numPr>
        <w:spacing w:after="100"/>
      </w:pPr>
      <w:r>
        <w:rPr>
          <w:rFonts w:ascii="Arial" w:cs="Arial" w:eastAsia="Arial" w:hAnsi="Arial"/>
          <w:color w:val="1E2A3A"/>
          <w:sz w:val="22"/>
          <w:szCs w:val="22"/>
        </w:rPr>
        <w:t xml:space="preserve">Key finding used: Vigenère's repeating key creates periodic patterns; Kasiski test exploits this.</w:t>
      </w:r>
    </w:p>
    <w:p>
      <w:pPr>
        <w:pStyle w:val="ListParagraph"/>
        <w:numPr>
          <w:ilvl w:val="0"/>
          <w:numId w:val="2"/>
        </w:numPr>
        <w:spacing w:after="100"/>
      </w:pPr>
      <w:r>
        <w:rPr>
          <w:rFonts w:ascii="Arial" w:cs="Arial" w:eastAsia="Arial" w:hAnsi="Arial"/>
          <w:color w:val="1E2A3A"/>
          <w:sz w:val="22"/>
          <w:szCs w:val="22"/>
        </w:rPr>
        <w:t xml:space="preserve">Limitation: Written for general audiences; lacks formal mathematical proofs.</w:t>
      </w:r>
    </w:p>
    <w:p>
      <w:pPr>
        <w:pStyle w:val="Heading2"/>
      </w:pPr>
      <w:r>
        <w:t xml:space="preserve">2.3 AES Standard — Dworkin et al. (2001)</w:t>
      </w:r>
    </w:p>
    <w:p>
      <w:pPr>
        <w:spacing w:after="160"/>
        <w:jc w:val="both"/>
      </w:pPr>
      <w:r>
        <w:rPr>
          <w:rFonts w:ascii="Arial" w:cs="Arial" w:eastAsia="Arial" w:hAnsi="Arial"/>
          <w:b w:val="false"/>
          <w:bCs w:val="false"/>
          <w:color w:val="1E2A3A"/>
          <w:sz w:val="22"/>
          <w:szCs w:val="22"/>
        </w:rPr>
        <w:t xml:space="preserve">Source: Dworkin, M.J. et al. (2001) Advanced Encryption Standard (AES). FIPS Publication 197. NIST.</w:t>
      </w:r>
    </w:p>
    <w:p>
      <w:pPr>
        <w:pStyle w:val="ListParagraph"/>
        <w:numPr>
          <w:ilvl w:val="0"/>
          <w:numId w:val="2"/>
        </w:numPr>
        <w:spacing w:after="100"/>
      </w:pPr>
      <w:r>
        <w:rPr>
          <w:rFonts w:ascii="Arial" w:cs="Arial" w:eastAsia="Arial" w:hAnsi="Arial"/>
          <w:color w:val="1E2A3A"/>
          <w:sz w:val="22"/>
          <w:szCs w:val="22"/>
        </w:rPr>
        <w:t xml:space="preserve">Type: Official US federal standard (primary source).</w:t>
      </w:r>
    </w:p>
    <w:p>
      <w:pPr>
        <w:pStyle w:val="ListParagraph"/>
        <w:numPr>
          <w:ilvl w:val="0"/>
          <w:numId w:val="2"/>
        </w:numPr>
        <w:spacing w:after="100"/>
      </w:pPr>
      <w:r>
        <w:rPr>
          <w:rFonts w:ascii="Arial" w:cs="Arial" w:eastAsia="Arial" w:hAnsi="Arial"/>
          <w:color w:val="1E2A3A"/>
          <w:sz w:val="22"/>
          <w:szCs w:val="22"/>
        </w:rPr>
        <w:t xml:space="preserve">Credibility: MAXIMUM — this IS the standard. Published by NIST, the US national standards body.</w:t>
      </w:r>
    </w:p>
    <w:p>
      <w:pPr>
        <w:pStyle w:val="ListParagraph"/>
        <w:numPr>
          <w:ilvl w:val="0"/>
          <w:numId w:val="2"/>
        </w:numPr>
        <w:spacing w:after="100"/>
      </w:pPr>
      <w:r>
        <w:rPr>
          <w:rFonts w:ascii="Arial" w:cs="Arial" w:eastAsia="Arial" w:hAnsi="Arial"/>
          <w:color w:val="1E2A3A"/>
          <w:sz w:val="22"/>
          <w:szCs w:val="22"/>
        </w:rPr>
        <w:t xml:space="preserve">Relevance: HIGH — defines SubBytes, ShiftRows, MixColumns, AddRoundKey operations directly.</w:t>
      </w:r>
    </w:p>
    <w:p>
      <w:pPr>
        <w:pStyle w:val="ListParagraph"/>
        <w:numPr>
          <w:ilvl w:val="0"/>
          <w:numId w:val="2"/>
        </w:numPr>
        <w:spacing w:after="100"/>
      </w:pPr>
      <w:r>
        <w:rPr>
          <w:rFonts w:ascii="Arial" w:cs="Arial" w:eastAsia="Arial" w:hAnsi="Arial"/>
          <w:color w:val="1E2A3A"/>
          <w:sz w:val="22"/>
          <w:szCs w:val="22"/>
        </w:rPr>
        <w:t xml:space="preserve">Key finding used: AddRoundKey is an XOR with a round key. Key schedule derives multiple keys from one.</w:t>
      </w:r>
    </w:p>
    <w:p>
      <w:pPr>
        <w:pStyle w:val="ListParagraph"/>
        <w:numPr>
          <w:ilvl w:val="0"/>
          <w:numId w:val="2"/>
        </w:numPr>
        <w:spacing w:after="100"/>
      </w:pPr>
      <w:r>
        <w:rPr>
          <w:rFonts w:ascii="Arial" w:cs="Arial" w:eastAsia="Arial" w:hAnsi="Arial"/>
          <w:color w:val="1E2A3A"/>
          <w:sz w:val="22"/>
          <w:szCs w:val="22"/>
        </w:rPr>
        <w:t xml:space="preserve">Limitation: Highly technical; requires background knowledge to interpret.</w:t>
      </w:r>
    </w:p>
    <w:p>
      <w:pPr>
        <w:pStyle w:val="Heading2"/>
      </w:pPr>
      <w:r>
        <w:t xml:space="preserve">2.4 SHA-256 — NIST (2015)</w:t>
      </w:r>
    </w:p>
    <w:p>
      <w:pPr>
        <w:spacing w:after="160"/>
        <w:jc w:val="both"/>
      </w:pPr>
      <w:r>
        <w:rPr>
          <w:rFonts w:ascii="Arial" w:cs="Arial" w:eastAsia="Arial" w:hAnsi="Arial"/>
          <w:b w:val="false"/>
          <w:bCs w:val="false"/>
          <w:color w:val="1E2A3A"/>
          <w:sz w:val="22"/>
          <w:szCs w:val="22"/>
        </w:rPr>
        <w:t xml:space="preserve">Source: NIST (2015) SHA-3 Standard. FIPS Publication 202.</w:t>
      </w:r>
    </w:p>
    <w:p>
      <w:pPr>
        <w:pStyle w:val="ListParagraph"/>
        <w:numPr>
          <w:ilvl w:val="0"/>
          <w:numId w:val="2"/>
        </w:numPr>
        <w:spacing w:after="100"/>
      </w:pPr>
      <w:r>
        <w:rPr>
          <w:rFonts w:ascii="Arial" w:cs="Arial" w:eastAsia="Arial" w:hAnsi="Arial"/>
          <w:color w:val="1E2A3A"/>
          <w:sz w:val="22"/>
          <w:szCs w:val="22"/>
        </w:rPr>
        <w:t xml:space="preserve">Type: Official US federal standard (primary source).</w:t>
      </w:r>
    </w:p>
    <w:p>
      <w:pPr>
        <w:pStyle w:val="ListParagraph"/>
        <w:numPr>
          <w:ilvl w:val="0"/>
          <w:numId w:val="2"/>
        </w:numPr>
        <w:spacing w:after="100"/>
      </w:pPr>
      <w:r>
        <w:rPr>
          <w:rFonts w:ascii="Arial" w:cs="Arial" w:eastAsia="Arial" w:hAnsi="Arial"/>
          <w:color w:val="1E2A3A"/>
          <w:sz w:val="22"/>
          <w:szCs w:val="22"/>
        </w:rPr>
        <w:t xml:space="preserve">Credibility: MAXIMUM — primary NIST standard document.</w:t>
      </w:r>
    </w:p>
    <w:p>
      <w:pPr>
        <w:pStyle w:val="ListParagraph"/>
        <w:numPr>
          <w:ilvl w:val="0"/>
          <w:numId w:val="2"/>
        </w:numPr>
        <w:spacing w:after="100"/>
      </w:pPr>
      <w:r>
        <w:rPr>
          <w:rFonts w:ascii="Arial" w:cs="Arial" w:eastAsia="Arial" w:hAnsi="Arial"/>
          <w:color w:val="1E2A3A"/>
          <w:sz w:val="22"/>
          <w:szCs w:val="22"/>
        </w:rPr>
        <w:t xml:space="preserve">Relevance: HIGH — confirms SHA-256 security properties used in MLDSC key schedule.</w:t>
      </w:r>
    </w:p>
    <w:p>
      <w:pPr>
        <w:pStyle w:val="ListParagraph"/>
        <w:numPr>
          <w:ilvl w:val="0"/>
          <w:numId w:val="2"/>
        </w:numPr>
        <w:spacing w:after="100"/>
      </w:pPr>
      <w:r>
        <w:rPr>
          <w:rFonts w:ascii="Arial" w:cs="Arial" w:eastAsia="Arial" w:hAnsi="Arial"/>
          <w:color w:val="1E2A3A"/>
          <w:sz w:val="22"/>
          <w:szCs w:val="22"/>
        </w:rPr>
        <w:t xml:space="preserve">Key finding used: SHA-256 provides pre-image resistance, second pre-image resistance, collision resistance.</w:t>
      </w:r>
    </w:p>
    <w:p>
      <w:pPr>
        <w:pStyle w:val="Heading2"/>
      </w:pPr>
      <w:r>
        <w:t xml:space="preserve">2.5 RSA — Rivest, Shamir, Adleman (1978)</w:t>
      </w:r>
    </w:p>
    <w:p>
      <w:pPr>
        <w:spacing w:after="160"/>
        <w:jc w:val="both"/>
      </w:pPr>
      <w:r>
        <w:rPr>
          <w:rFonts w:ascii="Arial" w:cs="Arial" w:eastAsia="Arial" w:hAnsi="Arial"/>
          <w:b w:val="false"/>
          <w:bCs w:val="false"/>
          <w:color w:val="1E2A3A"/>
          <w:sz w:val="22"/>
          <w:szCs w:val="22"/>
        </w:rPr>
        <w:t xml:space="preserve">Source: Rivest, R.L., Shamir, A. and Adleman, L. (1978) Communications of the ACM, 21(2), pp. 120–126.</w:t>
      </w:r>
    </w:p>
    <w:p>
      <w:pPr>
        <w:pStyle w:val="ListParagraph"/>
        <w:numPr>
          <w:ilvl w:val="0"/>
          <w:numId w:val="2"/>
        </w:numPr>
        <w:spacing w:after="100"/>
      </w:pPr>
      <w:r>
        <w:rPr>
          <w:rFonts w:ascii="Arial" w:cs="Arial" w:eastAsia="Arial" w:hAnsi="Arial"/>
          <w:color w:val="1E2A3A"/>
          <w:sz w:val="22"/>
          <w:szCs w:val="22"/>
        </w:rPr>
        <w:t xml:space="preserve">Type: Original research paper — the paper that introduced RSA.</w:t>
      </w:r>
    </w:p>
    <w:p>
      <w:pPr>
        <w:pStyle w:val="ListParagraph"/>
        <w:numPr>
          <w:ilvl w:val="0"/>
          <w:numId w:val="2"/>
        </w:numPr>
        <w:spacing w:after="100"/>
      </w:pPr>
      <w:r>
        <w:rPr>
          <w:rFonts w:ascii="Arial" w:cs="Arial" w:eastAsia="Arial" w:hAnsi="Arial"/>
          <w:color w:val="1E2A3A"/>
          <w:sz w:val="22"/>
          <w:szCs w:val="22"/>
        </w:rPr>
        <w:t xml:space="preserve">Credibility: MAXIMUM — foundational primary source; cited over 14,000 times.</w:t>
      </w:r>
    </w:p>
    <w:p>
      <w:pPr>
        <w:pStyle w:val="ListParagraph"/>
        <w:numPr>
          <w:ilvl w:val="0"/>
          <w:numId w:val="2"/>
        </w:numPr>
        <w:spacing w:after="100"/>
      </w:pPr>
      <w:r>
        <w:rPr>
          <w:rFonts w:ascii="Arial" w:cs="Arial" w:eastAsia="Arial" w:hAnsi="Arial"/>
          <w:color w:val="1E2A3A"/>
          <w:sz w:val="22"/>
          <w:szCs w:val="22"/>
        </w:rPr>
        <w:t xml:space="preserve">Relevance: MEDIUM — RSA is not directly used in MLDSC but contextualises asymmetric vs symmetric choice.</w:t>
      </w:r>
    </w:p>
    <w:p>
      <w:pPr>
        <w:pStyle w:val="ListParagraph"/>
        <w:numPr>
          <w:ilvl w:val="0"/>
          <w:numId w:val="2"/>
        </w:numPr>
        <w:spacing w:after="100"/>
      </w:pPr>
      <w:r>
        <w:rPr>
          <w:rFonts w:ascii="Arial" w:cs="Arial" w:eastAsia="Arial" w:hAnsi="Arial"/>
          <w:color w:val="1E2A3A"/>
          <w:sz w:val="22"/>
          <w:szCs w:val="22"/>
        </w:rPr>
        <w:t xml:space="preserve">Key finding used: RSA key generation, encryption, decryption operations. Factoring problem.</w:t>
      </w:r>
    </w:p>
    <w:p>
      <w:pPr>
        <w:pStyle w:val="Heading2"/>
      </w:pPr>
      <w:r>
        <w:t xml:space="preserve">2.6 One-Time Pad — Shannon (1949)</w:t>
      </w:r>
    </w:p>
    <w:p>
      <w:pPr>
        <w:spacing w:after="160"/>
        <w:jc w:val="both"/>
      </w:pPr>
      <w:r>
        <w:rPr>
          <w:rFonts w:ascii="Arial" w:cs="Arial" w:eastAsia="Arial" w:hAnsi="Arial"/>
          <w:b w:val="false"/>
          <w:bCs w:val="false"/>
          <w:color w:val="1E2A3A"/>
          <w:sz w:val="22"/>
          <w:szCs w:val="22"/>
        </w:rPr>
        <w:t xml:space="preserve">Source: Shannon, C.E. (1949) Communication theory of secrecy systems. Bell System Technical Journal, 28(4).</w:t>
      </w:r>
    </w:p>
    <w:p>
      <w:pPr>
        <w:pStyle w:val="ListParagraph"/>
        <w:numPr>
          <w:ilvl w:val="0"/>
          <w:numId w:val="2"/>
        </w:numPr>
        <w:spacing w:after="100"/>
      </w:pPr>
      <w:r>
        <w:rPr>
          <w:rFonts w:ascii="Arial" w:cs="Arial" w:eastAsia="Arial" w:hAnsi="Arial"/>
          <w:color w:val="1E2A3A"/>
          <w:sz w:val="22"/>
          <w:szCs w:val="22"/>
        </w:rPr>
        <w:t xml:space="preserve">Type: Foundational primary research paper.</w:t>
      </w:r>
    </w:p>
    <w:p>
      <w:pPr>
        <w:pStyle w:val="ListParagraph"/>
        <w:numPr>
          <w:ilvl w:val="0"/>
          <w:numId w:val="2"/>
        </w:numPr>
        <w:spacing w:after="100"/>
      </w:pPr>
      <w:r>
        <w:rPr>
          <w:rFonts w:ascii="Arial" w:cs="Arial" w:eastAsia="Arial" w:hAnsi="Arial"/>
          <w:color w:val="1E2A3A"/>
          <w:sz w:val="22"/>
          <w:szCs w:val="22"/>
        </w:rPr>
        <w:t xml:space="preserve">Credibility: MAXIMUM — Shannon's information theory papers are the basis of modern cryptography.</w:t>
      </w:r>
    </w:p>
    <w:p>
      <w:pPr>
        <w:pStyle w:val="ListParagraph"/>
        <w:numPr>
          <w:ilvl w:val="0"/>
          <w:numId w:val="2"/>
        </w:numPr>
        <w:spacing w:after="100"/>
      </w:pPr>
      <w:r>
        <w:rPr>
          <w:rFonts w:ascii="Arial" w:cs="Arial" w:eastAsia="Arial" w:hAnsi="Arial"/>
          <w:color w:val="1E2A3A"/>
          <w:sz w:val="22"/>
          <w:szCs w:val="22"/>
        </w:rPr>
        <w:t xml:space="preserve">Relevance: HIGH — proves the XOR principle with truly random keys is unbreakable.</w:t>
      </w:r>
    </w:p>
    <w:p>
      <w:pPr>
        <w:pStyle w:val="ListParagraph"/>
        <w:numPr>
          <w:ilvl w:val="0"/>
          <w:numId w:val="2"/>
        </w:numPr>
        <w:spacing w:after="100"/>
      </w:pPr>
      <w:r>
        <w:rPr>
          <w:rFonts w:ascii="Arial" w:cs="Arial" w:eastAsia="Arial" w:hAnsi="Arial"/>
          <w:color w:val="1E2A3A"/>
          <w:sz w:val="22"/>
          <w:szCs w:val="22"/>
        </w:rPr>
        <w:t xml:space="preserve">Key finding used: Perfect secrecy condition. XOR self-inverse property.</w:t>
      </w:r>
    </w:p>
    <w:p>
      <w:r>
        <w:br w:type="page"/>
      </w:r>
    </w:p>
    <w:p>
      <w:pPr>
        <w:pStyle w:val="Heading1"/>
      </w:pPr>
      <w:r>
        <w:t xml:space="preserve">3. Key Research Findings Summary</w:t>
      </w:r>
    </w:p>
    <w:p>
      <w:pPr>
        <w:spacing w:after="160"/>
        <w:jc w:val="both"/>
      </w:pPr>
      <w:r>
        <w:rPr>
          <w:rFonts w:ascii="Arial" w:cs="Arial" w:eastAsia="Arial" w:hAnsi="Arial"/>
          <w:b w:val="false"/>
          <w:bCs w:val="false"/>
          <w:color w:val="1E2A3A"/>
          <w:sz w:val="22"/>
          <w:szCs w:val="22"/>
        </w:rPr>
        <w:t xml:space="preserve">The following table summarises the direct design decisions that emerged from the research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26"/>
        <w:gridCol w:w="2000"/>
        <w:gridCol w:w="2500"/>
      </w:tblGrid>
      <w:tr>
        <w:tc>
          <w:tcPr>
            <w:tcW w:type="dxa" w:w="20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526"/>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Design Decision</w:t>
            </w:r>
          </w:p>
        </w:tc>
        <w:tc>
          <w:tcPr>
            <w:tcW w:type="dxa" w:w="25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MLDSC Element</w:t>
            </w:r>
          </w:p>
        </w:tc>
      </w:tr>
      <w:tr>
        <w:tc>
          <w:tcPr>
            <w:tcW w:type="dxa" w:w="20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Caesar shift is fixed — trivially broken</w:t>
            </w:r>
          </w:p>
        </w:tc>
        <w:tc>
          <w:tcPr>
            <w:tcW w:type="dxa" w:w="2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Damico (2009)</w:t>
            </w:r>
          </w:p>
        </w:tc>
        <w:tc>
          <w:tcPr>
            <w:tcW w:type="dxa" w:w="20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Make shift variable per byte</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Layer 1: K_i mod 26</w:t>
            </w:r>
          </w:p>
        </w:tc>
      </w:tr>
      <w:tr>
        <w:tc>
          <w:tcPr>
            <w:tcW w:type="dxa" w:w="20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Vigenère key repeats — Kasiski attack</w:t>
            </w:r>
          </w:p>
        </w:tc>
        <w:tc>
          <w:tcPr>
            <w:tcW w:type="dxa" w:w="25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Singh (2000)</w:t>
            </w:r>
          </w:p>
        </w:tc>
        <w:tc>
          <w:tcPr>
            <w:tcW w:type="dxa" w:w="20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Use non-repeating key stream</w:t>
            </w:r>
          </w:p>
        </w:tc>
        <w:tc>
          <w:tcPr>
            <w:tcW w:type="dxa" w:w="2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SHA-256 chain schedule</w:t>
            </w:r>
          </w:p>
        </w:tc>
      </w:tr>
      <w:tr>
        <w:tc>
          <w:tcPr>
            <w:tcW w:type="dxa" w:w="20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AES AddRoundKey = XOR with key</w:t>
            </w:r>
          </w:p>
        </w:tc>
        <w:tc>
          <w:tcPr>
            <w:tcW w:type="dxa" w:w="2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NIST FIPS 197</w:t>
            </w:r>
          </w:p>
        </w:tc>
        <w:tc>
          <w:tcPr>
            <w:tcW w:type="dxa" w:w="20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Adopt XOR as a layer</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Layer 3: b XOR K_i</w:t>
            </w:r>
          </w:p>
        </w:tc>
      </w:tr>
      <w:tr>
        <w:tc>
          <w:tcPr>
            <w:tcW w:type="dxa" w:w="20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AES key schedule derives multiple keys</w:t>
            </w:r>
          </w:p>
        </w:tc>
        <w:tc>
          <w:tcPr>
            <w:tcW w:type="dxa" w:w="25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NIST FIPS 197</w:t>
            </w:r>
          </w:p>
        </w:tc>
        <w:tc>
          <w:tcPr>
            <w:tcW w:type="dxa" w:w="20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Derive key bytes from password</w:t>
            </w:r>
          </w:p>
        </w:tc>
        <w:tc>
          <w:tcPr>
            <w:tcW w:type="dxa" w:w="2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SHA-256 key schedule</w:t>
            </w:r>
          </w:p>
        </w:tc>
      </w:tr>
      <w:tr>
        <w:tc>
          <w:tcPr>
            <w:tcW w:type="dxa" w:w="20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SHA-256 is pre-image resistant</w:t>
            </w:r>
          </w:p>
        </w:tc>
        <w:tc>
          <w:tcPr>
            <w:tcW w:type="dxa" w:w="2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NIST FIPS 202</w:t>
            </w:r>
          </w:p>
        </w:tc>
        <w:tc>
          <w:tcPr>
            <w:tcW w:type="dxa" w:w="20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Use SHA-256 for key derivation</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derive_key_schedule()</w:t>
            </w:r>
          </w:p>
        </w:tc>
      </w:tr>
      <w:tr>
        <w:tc>
          <w:tcPr>
            <w:tcW w:type="dxa" w:w="20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XOR is self-inverse</w:t>
            </w:r>
          </w:p>
        </w:tc>
        <w:tc>
          <w:tcPr>
            <w:tcW w:type="dxa" w:w="25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Shannon (1949)</w:t>
            </w:r>
          </w:p>
        </w:tc>
        <w:tc>
          <w:tcPr>
            <w:tcW w:type="dxa" w:w="20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Simplify decrypt algorithm</w:t>
            </w:r>
          </w:p>
        </w:tc>
        <w:tc>
          <w:tcPr>
            <w:tcW w:type="dxa" w:w="2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Same XOR in both directions</w:t>
            </w:r>
          </w:p>
        </w:tc>
      </w:tr>
      <w:tr>
        <w:tc>
          <w:tcPr>
            <w:tcW w:type="dxa" w:w="20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RSA is asymmetric — slower for bulk</w:t>
            </w:r>
          </w:p>
        </w:tc>
        <w:tc>
          <w:tcPr>
            <w:tcW w:type="dxa" w:w="25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Rivest et al. (1978)</w:t>
            </w:r>
          </w:p>
        </w:tc>
        <w:tc>
          <w:tcPr>
            <w:tcW w:type="dxa" w:w="20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Keep MLDSC symmetric</w:t>
            </w:r>
          </w:p>
        </w:tc>
        <w:tc>
          <w:tcPr>
            <w:tcW w:type="dxa" w:w="2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20"/>
                <w:szCs w:val="20"/>
              </w:rPr>
              <w:t xml:space="preserve">Same key encrypts/decrypts</w:t>
            </w:r>
          </w:p>
        </w:tc>
      </w:tr>
    </w:tbl>
    <w:p>
      <w:pPr>
        <w:spacing w:after="240" w:before="80"/>
        <w:jc w:val="center"/>
      </w:pPr>
      <w:r>
        <w:rPr>
          <w:rFonts w:ascii="Arial" w:cs="Arial" w:eastAsia="Arial" w:hAnsi="Arial"/>
          <w:color w:val="6B7A90"/>
          <w:sz w:val="18"/>
          <w:szCs w:val="18"/>
        </w:rPr>
        <w:t xml:space="preserve">Table 3: Research findings mapped to MLDSC design decisions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BBD" w:sz="4" w:space="4"/>
      </w:pBdr>
      <w:jc w:val="center"/>
    </w:pPr>
    <w:r>
      <w:rPr>
        <w:color w:val="6B7A90"/>
        <w:sz w:val="18"/>
        <w:szCs w:val="18"/>
      </w:rPr>
      <w:t xml:space="preserve">Page </w:t>
    </w:r>
    <w:r>
      <w:rPr>
        <w:color w:val="6B7A90"/>
        <w:sz w:val="18"/>
        <w:szCs w:val="18"/>
      </w:rPr>
      <w:fldChar w:fldCharType="begin"/>
      <w:instrText xml:space="preserve">PAGE</w:instrText>
      <w:fldChar w:fldCharType="separate"/>
      <w:fldChar w:fldCharType="end"/>
    </w:r>
    <w:r>
      <w:rPr>
        <w:color w:val="6B7A90"/>
        <w:sz w:val="18"/>
        <w:szCs w:val="18"/>
      </w:rPr>
      <w:t xml:space="preserve"> of </w:t>
    </w:r>
    <w:r>
      <w:rPr>
        <w:color w:val="6B7A9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BD" w:sz="4" w:space="4"/>
      </w:pBdr>
    </w:pPr>
    <w:r>
      <w:rPr>
        <w:rFonts w:ascii="Arial" w:cs="Arial" w:eastAsia="Arial" w:hAnsi="Arial"/>
        <w:color w:val="6B7A90"/>
        <w:sz w:val="18"/>
        <w:szCs w:val="18"/>
      </w:rPr>
      <w:t xml:space="preserve">CC6004 — Research Log — CC6004 MLDSC</w:t>
    </w:r>
    <w:r>
      <w:rPr>
        <w:sz w:val="18"/>
        <w:szCs w:val="18"/>
      </w:rPr>
      <w:t xml:space="preserve">			</w:t>
    </w:r>
    <w:r>
      <w:rPr>
        <w:rFonts w:ascii="Arial" w:cs="Arial" w:eastAsia="Arial" w:hAnsi="Arial"/>
        <w:color w:val="6B7A90"/>
        <w:sz w:val="18"/>
        <w:szCs w:val="18"/>
      </w:rPr>
      <w:t xml:space="preserve">London Metropolitan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BBD" w:sz="6" w:space="4"/>
      </w:pBdr>
      <w:spacing w:after="200" w:before="400"/>
      <w:outlineLvl w:val="0"/>
    </w:pPr>
    <w:rPr>
      <w:rFonts w:ascii="Arial" w:cs="Arial" w:eastAsia="Arial" w:hAnsi="Arial"/>
      <w:b/>
      <w:bCs/>
      <w:color w:val="1A2744"/>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5BB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B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2026-04-16T00:27:39.454Z</dcterms:created>
  <dcterms:modified xsi:type="dcterms:W3CDTF">2026-04-16T00:27:39.455Z</dcterms:modified>
</cp:coreProperties>
</file>

<file path=docProps/custom.xml><?xml version="1.0" encoding="utf-8"?>
<Properties xmlns="http://schemas.openxmlformats.org/officeDocument/2006/custom-properties" xmlns:vt="http://schemas.openxmlformats.org/officeDocument/2006/docPropsVTypes"/>
</file>