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3C5E"/>
          <w:sz w:val="52"/>
          <w:szCs w:val="52"/>
        </w:rPr>
        <w:t xml:space="preserve">TANASIOM AEGIS</w:t>
      </w:r>
    </w:p>
    <w:p>
      <w:pPr>
        <w:spacing w:before="0" w:after="80"/>
        <w:jc w:val="center"/>
      </w:pPr>
      <w:r>
        <w:rPr>
          <w:rFonts w:ascii="Arial" w:cs="Arial" w:eastAsia="Arial" w:hAnsi="Arial"/>
          <w:color w:val="2E75B6"/>
          <w:sz w:val="26"/>
          <w:szCs w:val="26"/>
        </w:rPr>
        <w:t xml:space="preserve">Cybersecurity Consultancy</w:t>
      </w:r>
    </w:p>
    <w:p>
      <w:pPr>
        <w:pBdr>
          <w:bottom w:val="single" w:color="2E75B6" w:sz="6" w:space="1"/>
        </w:pBdr>
        <w:spacing w:before="80" w:after="80"/>
      </w:pPr>
      <w:r>
        <w:t xml:space="preserve"/>
      </w:r>
    </w:p>
    <w:p>
      <w:pPr>
        <w:spacing w:before="300" w:after="120"/>
        <w:jc w:val="center"/>
      </w:pPr>
      <w:r>
        <w:rPr>
          <w:rFonts w:ascii="Arial" w:cs="Arial" w:eastAsia="Arial" w:hAnsi="Arial"/>
          <w:b/>
          <w:bCs/>
          <w:color w:val="1A3C5E"/>
          <w:sz w:val="36"/>
          <w:szCs w:val="36"/>
        </w:rPr>
        <w:t xml:space="preserve">RULES OF ENGAGEMENT</w:t>
      </w:r>
    </w:p>
    <w:p>
      <w:pPr>
        <w:spacing w:before="0" w:after="300"/>
        <w:jc w:val="center"/>
      </w:pPr>
      <w:r>
        <w:rPr>
          <w:rFonts w:ascii="Arial" w:cs="Arial" w:eastAsia="Arial" w:hAnsi="Arial"/>
          <w:color w:val="444444"/>
          <w:sz w:val="24"/>
          <w:szCs w:val="24"/>
        </w:rPr>
        <w:t xml:space="preserve">Internal Security Assessment — Meridian Digital Solutions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TA-ROE-2025-001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Linked SOW</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TA-SOW-2025-001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 Issued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March 2025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before="300" w:after="0"/>
      </w:pPr>
      <w:r>
        <w:t xml:space="preserve"/>
      </w:r>
    </w:p>
    <w:p>
      <w:pPr>
        <w:pBdr>
          <w:bottom w:val="single" w:color="1A3C5E" w:sz="4" w:space="1"/>
        </w:pBdr>
        <w:spacing w:before="300" w:after="120"/>
      </w:pPr>
      <w:r>
        <w:rPr>
          <w:rFonts w:ascii="Arial" w:cs="Arial" w:eastAsia="Arial" w:hAnsi="Arial"/>
          <w:b/>
          <w:bCs/>
          <w:color w:val="1A3C5E"/>
          <w:sz w:val="26"/>
          <w:szCs w:val="26"/>
        </w:rPr>
        <w:t xml:space="preserve">1. Purpose</w:t>
      </w:r>
    </w:p>
    <w:p>
      <w:pPr>
        <w:spacing w:before="60" w:after="60"/>
      </w:pPr>
      <w:r>
        <w:rPr>
          <w:rFonts w:ascii="Arial" w:cs="Arial" w:eastAsia="Arial" w:hAnsi="Arial"/>
          <w:sz w:val="22"/>
          <w:szCs w:val="22"/>
        </w:rPr>
        <w:t xml:space="preserve">This document defines the rules of engagement (ROE) for the internal security assessment conducted by Tanasiom Aegis on behalf of Meridian Digital Solutions Ltd. These rules exist to protect both parties, ensure the assessment is conducted ethically and legally, and define clear boundaries for testing activity.</w:t>
      </w:r>
    </w:p>
    <w:p>
      <w:pPr>
        <w:spacing w:before="60" w:after="60"/>
      </w:pPr>
      <w:r>
        <w:rPr>
          <w:rFonts w:ascii="Arial" w:cs="Arial" w:eastAsia="Arial" w:hAnsi="Arial"/>
          <w:sz w:val="22"/>
          <w:szCs w:val="22"/>
        </w:rPr>
        <w:t xml:space="preserve">All personnel involved in the assessment are required to read, understand, and comply with this document before commencing any testing activity.</w:t>
      </w:r>
    </w:p>
    <w:p>
      <w:pPr>
        <w:pBdr>
          <w:bottom w:val="single" w:color="1A3C5E" w:sz="4" w:space="1"/>
        </w:pBdr>
        <w:spacing w:before="300" w:after="120"/>
      </w:pPr>
      <w:r>
        <w:rPr>
          <w:rFonts w:ascii="Arial" w:cs="Arial" w:eastAsia="Arial" w:hAnsi="Arial"/>
          <w:b/>
          <w:bCs/>
          <w:color w:val="1A3C5E"/>
          <w:sz w:val="26"/>
          <w:szCs w:val="26"/>
        </w:rPr>
        <w:t xml:space="preserve">2. Legal and Ethical Basis</w:t>
      </w:r>
    </w:p>
    <w:p>
      <w:pPr>
        <w:spacing w:before="60" w:after="60"/>
      </w:pPr>
      <w:r>
        <w:rPr>
          <w:rFonts w:ascii="Arial" w:cs="Arial" w:eastAsia="Arial" w:hAnsi="Arial"/>
          <w:sz w:val="22"/>
          <w:szCs w:val="22"/>
        </w:rPr>
        <w:t xml:space="preserve">This assessment is conducted under explicit written authorisation from the Client as detailed in the accompanying Authorisation Letter (TA-AUTH-2025-001). All testing is performed in strict compliance with:</w:t>
      </w:r>
    </w:p>
    <w:p>
      <w:pPr>
        <w:pStyle w:val="ListParagraph"/>
        <w:numPr>
          <w:ilvl w:val="0"/>
          <w:numId w:val="2"/>
        </w:numPr>
        <w:spacing w:before="40" w:after="40"/>
      </w:pPr>
      <w:r>
        <w:rPr>
          <w:rFonts w:ascii="Arial" w:cs="Arial" w:eastAsia="Arial" w:hAnsi="Arial"/>
          <w:sz w:val="22"/>
          <w:szCs w:val="22"/>
        </w:rPr>
        <w:t xml:space="preserve">Computer Misuse Act 1990 (UK)</w:t>
      </w:r>
    </w:p>
    <w:p>
      <w:pPr>
        <w:pStyle w:val="ListParagraph"/>
        <w:numPr>
          <w:ilvl w:val="0"/>
          <w:numId w:val="2"/>
        </w:numPr>
        <w:spacing w:before="40" w:after="40"/>
      </w:pPr>
      <w:r>
        <w:rPr>
          <w:rFonts w:ascii="Arial" w:cs="Arial" w:eastAsia="Arial" w:hAnsi="Arial"/>
          <w:sz w:val="22"/>
          <w:szCs w:val="22"/>
        </w:rPr>
        <w:t xml:space="preserve">General Data Protection Regulation (GDPR) as retained in UK law</w:t>
      </w:r>
    </w:p>
    <w:p>
      <w:pPr>
        <w:pStyle w:val="ListParagraph"/>
        <w:numPr>
          <w:ilvl w:val="0"/>
          <w:numId w:val="2"/>
        </w:numPr>
        <w:spacing w:before="40" w:after="40"/>
      </w:pPr>
      <w:r>
        <w:rPr>
          <w:rFonts w:ascii="Arial" w:cs="Arial" w:eastAsia="Arial" w:hAnsi="Arial"/>
          <w:sz w:val="22"/>
          <w:szCs w:val="22"/>
        </w:rPr>
        <w:t xml:space="preserve">The Investigatory Powers Act 2016</w:t>
      </w:r>
    </w:p>
    <w:p>
      <w:pPr>
        <w:pStyle w:val="ListParagraph"/>
        <w:numPr>
          <w:ilvl w:val="0"/>
          <w:numId w:val="2"/>
        </w:numPr>
        <w:spacing w:before="40" w:after="40"/>
      </w:pPr>
      <w:r>
        <w:rPr>
          <w:rFonts w:ascii="Arial" w:cs="Arial" w:eastAsia="Arial" w:hAnsi="Arial"/>
          <w:sz w:val="22"/>
          <w:szCs w:val="22"/>
        </w:rPr>
        <w:t xml:space="preserve">Tanasiom Aegis internal code of conduct</w:t>
      </w:r>
    </w:p>
    <w:p>
      <w:pPr>
        <w:spacing w:before="60" w:after="0"/>
      </w:pPr>
      <w:r>
        <w:t xml:space="preserve"/>
      </w:r>
    </w:p>
    <w:p>
      <w:pPr>
        <w:spacing w:before="60" w:after="60"/>
      </w:pPr>
      <w:r>
        <w:rPr>
          <w:rFonts w:ascii="Arial" w:cs="Arial" w:eastAsia="Arial" w:hAnsi="Arial"/>
          <w:sz w:val="22"/>
          <w:szCs w:val="22"/>
        </w:rPr>
        <w:t xml:space="preserve">Any activity outside the defined scope constitutes a violation of this agreement and must be stopped immediately and reported.</w:t>
      </w:r>
    </w:p>
    <w:p>
      <w:pPr>
        <w:pBdr>
          <w:bottom w:val="single" w:color="1A3C5E" w:sz="4" w:space="1"/>
        </w:pBdr>
        <w:spacing w:before="300" w:after="120"/>
      </w:pPr>
      <w:r>
        <w:rPr>
          <w:rFonts w:ascii="Arial" w:cs="Arial" w:eastAsia="Arial" w:hAnsi="Arial"/>
          <w:b/>
          <w:bCs/>
          <w:color w:val="1A3C5E"/>
          <w:sz w:val="26"/>
          <w:szCs w:val="26"/>
        </w:rPr>
        <w:t xml:space="preserve">3. Permitted Activities</w:t>
      </w:r>
    </w:p>
    <w:p>
      <w:pPr>
        <w:spacing w:before="60" w:after="60"/>
      </w:pPr>
      <w:r>
        <w:rPr>
          <w:rFonts w:ascii="Arial" w:cs="Arial" w:eastAsia="Arial" w:hAnsi="Arial"/>
          <w:sz w:val="22"/>
          <w:szCs w:val="22"/>
        </w:rPr>
        <w:t xml:space="preserve">The following activities are explicitly permitted within the defined scope:</w:t>
      </w:r>
    </w:p>
    <w:p>
      <w:pPr>
        <w:pStyle w:val="ListParagraph"/>
        <w:numPr>
          <w:ilvl w:val="0"/>
          <w:numId w:val="2"/>
        </w:numPr>
        <w:spacing w:before="40" w:after="40"/>
      </w:pPr>
      <w:r>
        <w:rPr>
          <w:rFonts w:ascii="Arial" w:cs="Arial" w:eastAsia="Arial" w:hAnsi="Arial"/>
          <w:sz w:val="22"/>
          <w:szCs w:val="22"/>
        </w:rPr>
        <w:t xml:space="preserve">Network host discovery and port scanning</w:t>
      </w:r>
    </w:p>
    <w:p>
      <w:pPr>
        <w:pStyle w:val="ListParagraph"/>
        <w:numPr>
          <w:ilvl w:val="0"/>
          <w:numId w:val="2"/>
        </w:numPr>
        <w:spacing w:before="40" w:after="40"/>
      </w:pPr>
      <w:r>
        <w:rPr>
          <w:rFonts w:ascii="Arial" w:cs="Arial" w:eastAsia="Arial" w:hAnsi="Arial"/>
          <w:sz w:val="22"/>
          <w:szCs w:val="22"/>
        </w:rPr>
        <w:t xml:space="preserve">Service version detection and banner grabbing</w:t>
      </w:r>
    </w:p>
    <w:p>
      <w:pPr>
        <w:pStyle w:val="ListParagraph"/>
        <w:numPr>
          <w:ilvl w:val="0"/>
          <w:numId w:val="2"/>
        </w:numPr>
        <w:spacing w:before="40" w:after="40"/>
      </w:pPr>
      <w:r>
        <w:rPr>
          <w:rFonts w:ascii="Arial" w:cs="Arial" w:eastAsia="Arial" w:hAnsi="Arial"/>
          <w:sz w:val="22"/>
          <w:szCs w:val="22"/>
        </w:rPr>
        <w:t xml:space="preserve">Web application vulnerability scanning using automated tools (Nikto, Gobuster, Dirb)</w:t>
      </w:r>
    </w:p>
    <w:p>
      <w:pPr>
        <w:pStyle w:val="ListParagraph"/>
        <w:numPr>
          <w:ilvl w:val="0"/>
          <w:numId w:val="2"/>
        </w:numPr>
        <w:spacing w:before="40" w:after="40"/>
      </w:pPr>
      <w:r>
        <w:rPr>
          <w:rFonts w:ascii="Arial" w:cs="Arial" w:eastAsia="Arial" w:hAnsi="Arial"/>
          <w:sz w:val="22"/>
          <w:szCs w:val="22"/>
        </w:rPr>
        <w:t xml:space="preserve">Manual web application testing including SQL injection, XSS, command injection, file upload testing</w:t>
      </w:r>
    </w:p>
    <w:p>
      <w:pPr>
        <w:pStyle w:val="ListParagraph"/>
        <w:numPr>
          <w:ilvl w:val="0"/>
          <w:numId w:val="2"/>
        </w:numPr>
        <w:spacing w:before="40" w:after="40"/>
      </w:pPr>
      <w:r>
        <w:rPr>
          <w:rFonts w:ascii="Arial" w:cs="Arial" w:eastAsia="Arial" w:hAnsi="Arial"/>
          <w:sz w:val="22"/>
          <w:szCs w:val="22"/>
        </w:rPr>
        <w:t xml:space="preserve">Credential testing against services using common or default credentials</w:t>
      </w:r>
    </w:p>
    <w:p>
      <w:pPr>
        <w:pStyle w:val="ListParagraph"/>
        <w:numPr>
          <w:ilvl w:val="0"/>
          <w:numId w:val="2"/>
        </w:numPr>
        <w:spacing w:before="40" w:after="40"/>
      </w:pPr>
      <w:r>
        <w:rPr>
          <w:rFonts w:ascii="Arial" w:cs="Arial" w:eastAsia="Arial" w:hAnsi="Arial"/>
          <w:sz w:val="22"/>
          <w:szCs w:val="22"/>
        </w:rPr>
        <w:t xml:space="preserve">Exploitation of identified vulnerabilities to validate impact (controlled, non-destructive)</w:t>
      </w:r>
    </w:p>
    <w:p>
      <w:pPr>
        <w:pStyle w:val="ListParagraph"/>
        <w:numPr>
          <w:ilvl w:val="0"/>
          <w:numId w:val="2"/>
        </w:numPr>
        <w:spacing w:before="40" w:after="40"/>
      </w:pPr>
      <w:r>
        <w:rPr>
          <w:rFonts w:ascii="Arial" w:cs="Arial" w:eastAsia="Arial" w:hAnsi="Arial"/>
          <w:sz w:val="22"/>
          <w:szCs w:val="22"/>
        </w:rPr>
        <w:t xml:space="preserve">Post-exploitation activity limited to demonstrating access — no data exfiltration</w:t>
      </w:r>
    </w:p>
    <w:p>
      <w:pPr>
        <w:pStyle w:val="ListParagraph"/>
        <w:numPr>
          <w:ilvl w:val="0"/>
          <w:numId w:val="2"/>
        </w:numPr>
        <w:spacing w:before="40" w:after="40"/>
      </w:pPr>
      <w:r>
        <w:rPr>
          <w:rFonts w:ascii="Arial" w:cs="Arial" w:eastAsia="Arial" w:hAnsi="Arial"/>
          <w:sz w:val="22"/>
          <w:szCs w:val="22"/>
        </w:rPr>
        <w:t xml:space="preserve">Password hash capture where technically achievable during assessment</w:t>
      </w:r>
    </w:p>
    <w:p>
      <w:pPr>
        <w:pStyle w:val="ListParagraph"/>
        <w:numPr>
          <w:ilvl w:val="0"/>
          <w:numId w:val="2"/>
        </w:numPr>
        <w:spacing w:before="40" w:after="40"/>
      </w:pPr>
      <w:r>
        <w:rPr>
          <w:rFonts w:ascii="Arial" w:cs="Arial" w:eastAsia="Arial" w:hAnsi="Arial"/>
          <w:sz w:val="22"/>
          <w:szCs w:val="22"/>
        </w:rPr>
        <w:t xml:space="preserve">Privilege escalation attempts on in-scope hosts</w:t>
      </w:r>
    </w:p>
    <w:p>
      <w:pPr>
        <w:pBdr>
          <w:bottom w:val="single" w:color="1A3C5E" w:sz="4" w:space="1"/>
        </w:pBdr>
        <w:spacing w:before="300" w:after="120"/>
      </w:pPr>
      <w:r>
        <w:rPr>
          <w:rFonts w:ascii="Arial" w:cs="Arial" w:eastAsia="Arial" w:hAnsi="Arial"/>
          <w:b/>
          <w:bCs/>
          <w:color w:val="1A3C5E"/>
          <w:sz w:val="26"/>
          <w:szCs w:val="26"/>
        </w:rPr>
        <w:t xml:space="preserve">4. Prohibited Activities</w:t>
      </w:r>
    </w:p>
    <w:p>
      <w:pPr>
        <w:spacing w:before="60" w:after="60"/>
      </w:pPr>
      <w:r>
        <w:rPr>
          <w:rFonts w:ascii="Arial" w:cs="Arial" w:eastAsia="Arial" w:hAnsi="Arial"/>
          <w:sz w:val="22"/>
          <w:szCs w:val="22"/>
        </w:rPr>
        <w:t xml:space="preserve">The following activities are explicitly prohibited regardless of technical capability:</w:t>
      </w:r>
    </w:p>
    <w:p>
      <w:pPr>
        <w:pStyle w:val="ListParagraph"/>
        <w:numPr>
          <w:ilvl w:val="0"/>
          <w:numId w:val="2"/>
        </w:numPr>
        <w:spacing w:before="40" w:after="40"/>
      </w:pPr>
      <w:r>
        <w:rPr>
          <w:rFonts w:ascii="Arial" w:cs="Arial" w:eastAsia="Arial" w:hAnsi="Arial"/>
          <w:sz w:val="22"/>
          <w:szCs w:val="22"/>
        </w:rPr>
        <w:t xml:space="preserve">Testing any system outside the defined scope (192.168.56.0/24)</w:t>
      </w:r>
    </w:p>
    <w:p>
      <w:pPr>
        <w:pStyle w:val="ListParagraph"/>
        <w:numPr>
          <w:ilvl w:val="0"/>
          <w:numId w:val="2"/>
        </w:numPr>
        <w:spacing w:before="40" w:after="40"/>
      </w:pPr>
      <w:r>
        <w:rPr>
          <w:rFonts w:ascii="Arial" w:cs="Arial" w:eastAsia="Arial" w:hAnsi="Arial"/>
          <w:sz w:val="22"/>
          <w:szCs w:val="22"/>
        </w:rPr>
        <w:t xml:space="preserve">Denial of Service (DoS) or Distributed Denial of Service (DDoS) attacks</w:t>
      </w:r>
    </w:p>
    <w:p>
      <w:pPr>
        <w:pStyle w:val="ListParagraph"/>
        <w:numPr>
          <w:ilvl w:val="0"/>
          <w:numId w:val="2"/>
        </w:numPr>
        <w:spacing w:before="40" w:after="40"/>
      </w:pPr>
      <w:r>
        <w:rPr>
          <w:rFonts w:ascii="Arial" w:cs="Arial" w:eastAsia="Arial" w:hAnsi="Arial"/>
          <w:sz w:val="22"/>
          <w:szCs w:val="22"/>
        </w:rPr>
        <w:t xml:space="preserve">Destruction, modification, or deletion of Client data</w:t>
      </w:r>
    </w:p>
    <w:p>
      <w:pPr>
        <w:pStyle w:val="ListParagraph"/>
        <w:numPr>
          <w:ilvl w:val="0"/>
          <w:numId w:val="2"/>
        </w:numPr>
        <w:spacing w:before="40" w:after="40"/>
      </w:pPr>
      <w:r>
        <w:rPr>
          <w:rFonts w:ascii="Arial" w:cs="Arial" w:eastAsia="Arial" w:hAnsi="Arial"/>
          <w:sz w:val="22"/>
          <w:szCs w:val="22"/>
        </w:rPr>
        <w:t xml:space="preserve">Installation of persistent backdoors or remote access tools</w:t>
      </w:r>
    </w:p>
    <w:p>
      <w:pPr>
        <w:pStyle w:val="ListParagraph"/>
        <w:numPr>
          <w:ilvl w:val="0"/>
          <w:numId w:val="2"/>
        </w:numPr>
        <w:spacing w:before="40" w:after="40"/>
      </w:pPr>
      <w:r>
        <w:rPr>
          <w:rFonts w:ascii="Arial" w:cs="Arial" w:eastAsia="Arial" w:hAnsi="Arial"/>
          <w:sz w:val="22"/>
          <w:szCs w:val="22"/>
        </w:rPr>
        <w:t xml:space="preserve">Exfiltration of Client data or credentials beyond the test environment</w:t>
      </w:r>
    </w:p>
    <w:p>
      <w:pPr>
        <w:pStyle w:val="ListParagraph"/>
        <w:numPr>
          <w:ilvl w:val="0"/>
          <w:numId w:val="2"/>
        </w:numPr>
        <w:spacing w:before="40" w:after="40"/>
      </w:pPr>
      <w:r>
        <w:rPr>
          <w:rFonts w:ascii="Arial" w:cs="Arial" w:eastAsia="Arial" w:hAnsi="Arial"/>
          <w:sz w:val="22"/>
          <w:szCs w:val="22"/>
        </w:rPr>
        <w:t xml:space="preserve">Social engineering, phishing, or any attack against Client staff</w:t>
      </w:r>
    </w:p>
    <w:p>
      <w:pPr>
        <w:pStyle w:val="ListParagraph"/>
        <w:numPr>
          <w:ilvl w:val="0"/>
          <w:numId w:val="2"/>
        </w:numPr>
        <w:spacing w:before="40" w:after="40"/>
      </w:pPr>
      <w:r>
        <w:rPr>
          <w:rFonts w:ascii="Arial" w:cs="Arial" w:eastAsia="Arial" w:hAnsi="Arial"/>
          <w:sz w:val="22"/>
          <w:szCs w:val="22"/>
        </w:rPr>
        <w:t xml:space="preserve">Physical security testing of any Client premises</w:t>
      </w:r>
    </w:p>
    <w:p>
      <w:pPr>
        <w:pStyle w:val="ListParagraph"/>
        <w:numPr>
          <w:ilvl w:val="0"/>
          <w:numId w:val="2"/>
        </w:numPr>
        <w:spacing w:before="40" w:after="40"/>
      </w:pPr>
      <w:r>
        <w:rPr>
          <w:rFonts w:ascii="Arial" w:cs="Arial" w:eastAsia="Arial" w:hAnsi="Arial"/>
          <w:sz w:val="22"/>
          <w:szCs w:val="22"/>
        </w:rPr>
        <w:t xml:space="preserve">Testing of third-party systems, cloud services, or external infrastructure</w:t>
      </w:r>
    </w:p>
    <w:p>
      <w:pPr>
        <w:pStyle w:val="ListParagraph"/>
        <w:numPr>
          <w:ilvl w:val="0"/>
          <w:numId w:val="2"/>
        </w:numPr>
        <w:spacing w:before="40" w:after="40"/>
      </w:pPr>
      <w:r>
        <w:rPr>
          <w:rFonts w:ascii="Arial" w:cs="Arial" w:eastAsia="Arial" w:hAnsi="Arial"/>
          <w:sz w:val="22"/>
          <w:szCs w:val="22"/>
        </w:rPr>
        <w:t xml:space="preserve">Sharing, publishing, or discussing engagement findings with any third party</w:t>
      </w:r>
    </w:p>
    <w:p>
      <w:pPr>
        <w:pBdr>
          <w:bottom w:val="single" w:color="1A3C5E" w:sz="4" w:space="1"/>
        </w:pBdr>
        <w:spacing w:before="300" w:after="120"/>
      </w:pPr>
      <w:r>
        <w:rPr>
          <w:rFonts w:ascii="Arial" w:cs="Arial" w:eastAsia="Arial" w:hAnsi="Arial"/>
          <w:b/>
          <w:bCs/>
          <w:color w:val="1A3C5E"/>
          <w:sz w:val="26"/>
          <w:szCs w:val="26"/>
        </w:rPr>
        <w:t xml:space="preserve">5. Testing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Agreed Testing Hours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 – 18:00 GMT, Monday to Friday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Testing Environment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Isolated virtual lab — no production system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10 business days from engagement start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Out-of-hours testing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permitted without prior written approval</w:t>
            </w:r>
          </w:p>
        </w:tc>
      </w:tr>
    </w:tbl>
    <w:p>
      <w:pPr>
        <w:pBdr>
          <w:bottom w:val="single" w:color="1A3C5E" w:sz="4" w:space="1"/>
        </w:pBdr>
        <w:spacing w:before="300" w:after="120"/>
      </w:pPr>
      <w:r>
        <w:rPr>
          <w:rFonts w:ascii="Arial" w:cs="Arial" w:eastAsia="Arial" w:hAnsi="Arial"/>
          <w:b/>
          <w:bCs/>
          <w:color w:val="1A3C5E"/>
          <w:sz w:val="26"/>
          <w:szCs w:val="26"/>
        </w:rPr>
        <w:t xml:space="preserve">6. Communication and Escalation</w:t>
      </w:r>
    </w:p>
    <w:p>
      <w:pPr>
        <w:spacing w:before="60" w:after="60"/>
      </w:pPr>
      <w:r>
        <w:rPr>
          <w:rFonts w:ascii="Arial" w:cs="Arial" w:eastAsia="Arial" w:hAnsi="Arial"/>
          <w:sz w:val="22"/>
          <w:szCs w:val="22"/>
        </w:rPr>
        <w:t xml:space="preserve">The following communication protocols apply throughout the engagement: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Primary Contact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Designated IT Manager, Meridian Digital Solutions Ltd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Primary Contact (Consultant)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Lead Security Consultant, Tanasiom Aegis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Critical Finding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notification within 2 hours of discovery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Emergency Stop Signal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Either party may halt all testing with immediate written notice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Reporting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summary during active testing; full report at completion</w:t>
            </w:r>
          </w:p>
        </w:tc>
      </w:tr>
    </w:tbl>
    <w:p>
      <w:pPr>
        <w:spacing w:before="80" w:after="0"/>
      </w:pPr>
      <w:r>
        <w:t xml:space="preserve"/>
      </w:r>
    </w:p>
    <w:p>
      <w:pPr>
        <w:spacing w:before="60" w:after="60"/>
      </w:pPr>
      <w:r>
        <w:rPr>
          <w:rFonts w:ascii="Arial" w:cs="Arial" w:eastAsia="Arial" w:hAnsi="Arial"/>
          <w:sz w:val="22"/>
          <w:szCs w:val="22"/>
        </w:rPr>
        <w:t xml:space="preserve">A critical finding is defined as any vulnerability that, if exploited, could result in complete system compromise, significant data loss, or material business disruption.</w:t>
      </w:r>
    </w:p>
    <w:p>
      <w:pPr>
        <w:pBdr>
          <w:bottom w:val="single" w:color="1A3C5E" w:sz="4" w:space="1"/>
        </w:pBdr>
        <w:spacing w:before="300" w:after="120"/>
      </w:pPr>
      <w:r>
        <w:rPr>
          <w:rFonts w:ascii="Arial" w:cs="Arial" w:eastAsia="Arial" w:hAnsi="Arial"/>
          <w:b/>
          <w:bCs/>
          <w:color w:val="1A3C5E"/>
          <w:sz w:val="26"/>
          <w:szCs w:val="26"/>
        </w:rPr>
        <w:t xml:space="preserve">7. Handling of Sensitive Data</w:t>
      </w:r>
    </w:p>
    <w:p>
      <w:pPr>
        <w:spacing w:before="60" w:after="60"/>
      </w:pPr>
      <w:r>
        <w:rPr>
          <w:rFonts w:ascii="Arial" w:cs="Arial" w:eastAsia="Arial" w:hAnsi="Arial"/>
          <w:sz w:val="22"/>
          <w:szCs w:val="22"/>
        </w:rPr>
        <w:t xml:space="preserve">During the course of the assessment, the Consultant may encounter sensitive data including but not limited to:</w:t>
      </w:r>
    </w:p>
    <w:p>
      <w:pPr>
        <w:pStyle w:val="ListParagraph"/>
        <w:numPr>
          <w:ilvl w:val="0"/>
          <w:numId w:val="2"/>
        </w:numPr>
        <w:spacing w:before="40" w:after="40"/>
      </w:pPr>
      <w:r>
        <w:rPr>
          <w:rFonts w:ascii="Arial" w:cs="Arial" w:eastAsia="Arial" w:hAnsi="Arial"/>
          <w:sz w:val="22"/>
          <w:szCs w:val="22"/>
        </w:rPr>
        <w:t xml:space="preserve">Employee credentials or password hashes</w:t>
      </w:r>
    </w:p>
    <w:p>
      <w:pPr>
        <w:pStyle w:val="ListParagraph"/>
        <w:numPr>
          <w:ilvl w:val="0"/>
          <w:numId w:val="2"/>
        </w:numPr>
        <w:spacing w:before="40" w:after="40"/>
      </w:pPr>
      <w:r>
        <w:rPr>
          <w:rFonts w:ascii="Arial" w:cs="Arial" w:eastAsia="Arial" w:hAnsi="Arial"/>
          <w:sz w:val="22"/>
          <w:szCs w:val="22"/>
        </w:rPr>
        <w:t xml:space="preserve">Internal network configuration details</w:t>
      </w:r>
    </w:p>
    <w:p>
      <w:pPr>
        <w:pStyle w:val="ListParagraph"/>
        <w:numPr>
          <w:ilvl w:val="0"/>
          <w:numId w:val="2"/>
        </w:numPr>
        <w:spacing w:before="40" w:after="40"/>
      </w:pPr>
      <w:r>
        <w:rPr>
          <w:rFonts w:ascii="Arial" w:cs="Arial" w:eastAsia="Arial" w:hAnsi="Arial"/>
          <w:sz w:val="22"/>
          <w:szCs w:val="22"/>
        </w:rPr>
        <w:t xml:space="preserve">Business-sensitive information stored on in-scope systems</w:t>
      </w:r>
    </w:p>
    <w:p>
      <w:pPr>
        <w:spacing w:before="60" w:after="0"/>
      </w:pPr>
      <w:r>
        <w:t xml:space="preserve"/>
      </w:r>
    </w:p>
    <w:p>
      <w:pPr>
        <w:spacing w:before="60" w:after="60"/>
      </w:pPr>
      <w:r>
        <w:rPr>
          <w:rFonts w:ascii="Arial" w:cs="Arial" w:eastAsia="Arial" w:hAnsi="Arial"/>
          <w:sz w:val="22"/>
          <w:szCs w:val="22"/>
        </w:rPr>
        <w:t xml:space="preserve">In all cases, the Consultant will handle such data as follows:</w:t>
      </w:r>
    </w:p>
    <w:p>
      <w:pPr>
        <w:pStyle w:val="ListParagraph"/>
        <w:numPr>
          <w:ilvl w:val="0"/>
          <w:numId w:val="2"/>
        </w:numPr>
        <w:spacing w:before="40" w:after="40"/>
      </w:pPr>
      <w:r>
        <w:rPr>
          <w:rFonts w:ascii="Arial" w:cs="Arial" w:eastAsia="Arial" w:hAnsi="Arial"/>
          <w:sz w:val="22"/>
          <w:szCs w:val="22"/>
        </w:rPr>
        <w:t xml:space="preserve">Document the existence of sensitive data as evidence of a vulnerability — do not read or copy the content</w:t>
      </w:r>
    </w:p>
    <w:p>
      <w:pPr>
        <w:pStyle w:val="ListParagraph"/>
        <w:numPr>
          <w:ilvl w:val="0"/>
          <w:numId w:val="2"/>
        </w:numPr>
        <w:spacing w:before="40" w:after="40"/>
      </w:pPr>
      <w:r>
        <w:rPr>
          <w:rFonts w:ascii="Arial" w:cs="Arial" w:eastAsia="Arial" w:hAnsi="Arial"/>
          <w:sz w:val="22"/>
          <w:szCs w:val="22"/>
        </w:rPr>
        <w:t xml:space="preserve">Store any captured artefacts securely and encrypted during the engagement</w:t>
      </w:r>
    </w:p>
    <w:p>
      <w:pPr>
        <w:pStyle w:val="ListParagraph"/>
        <w:numPr>
          <w:ilvl w:val="0"/>
          <w:numId w:val="2"/>
        </w:numPr>
        <w:spacing w:before="40" w:after="40"/>
      </w:pPr>
      <w:r>
        <w:rPr>
          <w:rFonts w:ascii="Arial" w:cs="Arial" w:eastAsia="Arial" w:hAnsi="Arial"/>
          <w:sz w:val="22"/>
          <w:szCs w:val="22"/>
        </w:rPr>
        <w:t xml:space="preserve">Destroy all sensitive artefacts upon conclusion of the engagement</w:t>
      </w:r>
    </w:p>
    <w:p>
      <w:pPr>
        <w:pStyle w:val="ListParagraph"/>
        <w:numPr>
          <w:ilvl w:val="0"/>
          <w:numId w:val="2"/>
        </w:numPr>
        <w:spacing w:before="40" w:after="40"/>
      </w:pPr>
      <w:r>
        <w:rPr>
          <w:rFonts w:ascii="Arial" w:cs="Arial" w:eastAsia="Arial" w:hAnsi="Arial"/>
          <w:sz w:val="22"/>
          <w:szCs w:val="22"/>
        </w:rPr>
        <w:t xml:space="preserve">Include appropriate redaction in any report screenshots or logs</w:t>
      </w:r>
    </w:p>
    <w:p>
      <w:pPr>
        <w:pBdr>
          <w:bottom w:val="single" w:color="1A3C5E" w:sz="4" w:space="1"/>
        </w:pBdr>
        <w:spacing w:before="300" w:after="120"/>
      </w:pPr>
      <w:r>
        <w:rPr>
          <w:rFonts w:ascii="Arial" w:cs="Arial" w:eastAsia="Arial" w:hAnsi="Arial"/>
          <w:b/>
          <w:bCs/>
          <w:color w:val="1A3C5E"/>
          <w:sz w:val="26"/>
          <w:szCs w:val="26"/>
        </w:rPr>
        <w:t xml:space="preserve">8. Incident Response Protocol</w:t>
      </w:r>
    </w:p>
    <w:p>
      <w:pPr>
        <w:spacing w:before="60" w:after="60"/>
      </w:pPr>
      <w:r>
        <w:rPr>
          <w:rFonts w:ascii="Arial" w:cs="Arial" w:eastAsia="Arial" w:hAnsi="Arial"/>
          <w:sz w:val="22"/>
          <w:szCs w:val="22"/>
        </w:rPr>
        <w:t xml:space="preserve">Should any unintended impact occur during testing — such as a service disruption or unintended system modification — the following steps must be taken immediately:</w:t>
      </w:r>
    </w:p>
    <w:p>
      <w:pPr>
        <w:pStyle w:val="ListParagraph"/>
        <w:numPr>
          <w:ilvl w:val="0"/>
          <w:numId w:val="3"/>
        </w:numPr>
        <w:spacing w:before="60" w:after="40"/>
      </w:pPr>
      <w:r>
        <w:rPr>
          <w:rFonts w:ascii="Arial" w:cs="Arial" w:eastAsia="Arial" w:hAnsi="Arial"/>
          <w:sz w:val="22"/>
          <w:szCs w:val="22"/>
        </w:rPr>
        <w:t xml:space="preserve">Stop all testing activity immediately</w:t>
      </w:r>
    </w:p>
    <w:p>
      <w:pPr>
        <w:pStyle w:val="ListParagraph"/>
        <w:numPr>
          <w:ilvl w:val="0"/>
          <w:numId w:val="3"/>
        </w:numPr>
        <w:spacing w:before="40" w:after="40"/>
      </w:pPr>
      <w:r>
        <w:rPr>
          <w:rFonts w:ascii="Arial" w:cs="Arial" w:eastAsia="Arial" w:hAnsi="Arial"/>
          <w:sz w:val="22"/>
          <w:szCs w:val="22"/>
        </w:rPr>
        <w:t xml:space="preserve">Notify the Client primary contact by telephone within 30 minutes</w:t>
      </w:r>
    </w:p>
    <w:p>
      <w:pPr>
        <w:pStyle w:val="ListParagraph"/>
        <w:numPr>
          <w:ilvl w:val="0"/>
          <w:numId w:val="3"/>
        </w:numPr>
        <w:spacing w:before="40" w:after="40"/>
      </w:pPr>
      <w:r>
        <w:rPr>
          <w:rFonts w:ascii="Arial" w:cs="Arial" w:eastAsia="Arial" w:hAnsi="Arial"/>
          <w:sz w:val="22"/>
          <w:szCs w:val="22"/>
        </w:rPr>
        <w:t xml:space="preserve">Document the incident in full including time, action, and observed impact</w:t>
      </w:r>
    </w:p>
    <w:p>
      <w:pPr>
        <w:pStyle w:val="ListParagraph"/>
        <w:numPr>
          <w:ilvl w:val="0"/>
          <w:numId w:val="3"/>
        </w:numPr>
        <w:spacing w:before="40" w:after="60"/>
      </w:pPr>
      <w:r>
        <w:rPr>
          <w:rFonts w:ascii="Arial" w:cs="Arial" w:eastAsia="Arial" w:hAnsi="Arial"/>
          <w:sz w:val="22"/>
          <w:szCs w:val="22"/>
        </w:rPr>
        <w:t xml:space="preserve">Await Client instruction before resuming any testing</w:t>
      </w:r>
    </w:p>
    <w:p>
      <w:pPr>
        <w:pBdr>
          <w:bottom w:val="single" w:color="1A3C5E" w:sz="4" w:space="1"/>
        </w:pBdr>
        <w:spacing w:before="300" w:after="120"/>
      </w:pPr>
      <w:r>
        <w:rPr>
          <w:rFonts w:ascii="Arial" w:cs="Arial" w:eastAsia="Arial" w:hAnsi="Arial"/>
          <w:b/>
          <w:bCs/>
          <w:color w:val="1A3C5E"/>
          <w:sz w:val="26"/>
          <w:szCs w:val="26"/>
        </w:rPr>
        <w:t xml:space="preserve">9. Agreement</w:t>
      </w:r>
    </w:p>
    <w:p>
      <w:pPr>
        <w:spacing w:before="60" w:after="60"/>
      </w:pPr>
      <w:r>
        <w:rPr>
          <w:rFonts w:ascii="Arial" w:cs="Arial" w:eastAsia="Arial" w:hAnsi="Arial"/>
          <w:sz w:val="22"/>
          <w:szCs w:val="22"/>
        </w:rPr>
        <w:t xml:space="preserve">By signing this document, both parties confirm that they have read, understood, and agreed to abide by these rules of engagement for the duration of the assessment.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80"/>
              <w:bottom w:type="dxa" w:w="80"/>
              <w:right w:type="dxa" w:w="180"/>
            </w:tcMar>
          </w:tcPr>
          <w:p>
            <w:pPr>
              <w:spacing w:after="300"/>
            </w:pPr>
            <w:r>
              <w:rPr>
                <w:rFonts w:ascii="Arial" w:cs="Arial" w:eastAsia="Arial" w:hAnsi="Arial"/>
                <w:b/>
                <w:bCs/>
                <w:color w:val="1A3C5E"/>
                <w:sz w:val="20"/>
                <w:szCs w:val="20"/>
              </w:rPr>
              <w:t xml:space="preserve">For Tanasiom Aegis</w:t>
            </w:r>
          </w:p>
          <w:p>
            <w:pPr>
              <w:spacing w:after="80"/>
            </w:pPr>
            <w:r>
              <w:rPr>
                <w:rFonts w:ascii="Arial" w:cs="Arial" w:eastAsia="Arial" w:hAnsi="Arial"/>
                <w:sz w:val="20"/>
                <w:szCs w:val="20"/>
              </w:rPr>
              <w:t xml:space="preserve">Signature: _________________________</w:t>
            </w:r>
          </w:p>
          <w:p>
            <w:pPr>
              <w:spacing w:after="0"/>
            </w:pPr>
            <w:r>
              <w:rPr>
                <w:rFonts w:ascii="Arial" w:cs="Arial" w:eastAsia="Arial" w:hAnsi="Arial"/>
                <w:sz w:val="20"/>
                <w:szCs w:val="20"/>
              </w:rPr>
              <w:t xml:space="preserve">Date: ______________________________</w:t>
            </w:r>
          </w:p>
        </w:tc>
        <w:tc>
          <w:tcPr>
            <w:tcW w:type="dxa" w:w="4680"/>
            <w:tcBorders>
              <w:top w:val="single" w:color="CCCCCC" w:sz="1"/>
              <w:left w:val="single" w:color="CCCCCC" w:sz="1"/>
              <w:bottom w:val="single" w:color="CCCCCC" w:sz="1"/>
              <w:right w:val="single" w:color="CCCCCC" w:sz="1"/>
            </w:tcBorders>
            <w:shd w:fill="F5F5F5" w:val="clear"/>
            <w:tcMar>
              <w:top w:type="dxa" w:w="80"/>
              <w:left w:type="dxa" w:w="180"/>
              <w:bottom w:type="dxa" w:w="80"/>
              <w:right w:type="dxa" w:w="180"/>
            </w:tcMar>
          </w:tcPr>
          <w:p>
            <w:pPr>
              <w:spacing w:after="300"/>
            </w:pPr>
            <w:r>
              <w:rPr>
                <w:rFonts w:ascii="Arial" w:cs="Arial" w:eastAsia="Arial" w:hAnsi="Arial"/>
                <w:b/>
                <w:bCs/>
                <w:color w:val="1A3C5E"/>
                <w:sz w:val="20"/>
                <w:szCs w:val="20"/>
              </w:rPr>
              <w:t xml:space="preserve">For Meridian Digital Solutions Ltd</w:t>
            </w:r>
          </w:p>
          <w:p>
            <w:pPr>
              <w:spacing w:after="80"/>
            </w:pPr>
            <w:r>
              <w:rPr>
                <w:rFonts w:ascii="Arial" w:cs="Arial" w:eastAsia="Arial" w:hAnsi="Arial"/>
                <w:sz w:val="20"/>
                <w:szCs w:val="20"/>
              </w:rPr>
              <w:t xml:space="preserve">Signature: _________________________</w:t>
            </w:r>
          </w:p>
          <w:p>
            <w:pPr>
              <w:spacing w:after="0"/>
            </w:pPr>
            <w:r>
              <w:rPr>
                <w:rFonts w:ascii="Arial" w:cs="Arial" w:eastAsia="Arial" w:hAnsi="Arial"/>
                <w:sz w:val="20"/>
                <w:szCs w:val="20"/>
              </w:rPr>
              <w:t xml:space="preserve">Date: ______________________________</w:t>
            </w:r>
          </w:p>
        </w:tc>
      </w:tr>
    </w:tbl>
    <w:p>
      <w:pPr>
        <w:spacing w:before="120" w:after="0"/>
      </w:pPr>
      <w:r>
        <w:t xml:space="preserve"/>
      </w:r>
    </w:p>
    <w:p>
      <w:pPr>
        <w:jc w:val="center"/>
      </w:pPr>
      <w:r>
        <w:rPr>
          <w:rFonts w:ascii="Arial" w:cs="Arial" w:eastAsia="Arial" w:hAnsi="Arial"/>
          <w:color w:val="999999"/>
          <w:sz w:val="16"/>
          <w:szCs w:val="16"/>
        </w:rPr>
        <w:t xml:space="preserve">TA-ROE-2025-001 | CONFIDENTIAL | Tanasiom Aegis | v1.0</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2026-03-08T14:28:46.232Z</dcterms:created>
  <dcterms:modified xsi:type="dcterms:W3CDTF">2026-03-08T14:28:46.232Z</dcterms:modified>
</cp:coreProperties>
</file>

<file path=docProps/custom.xml><?xml version="1.0" encoding="utf-8"?>
<Properties xmlns="http://schemas.openxmlformats.org/officeDocument/2006/custom-properties" xmlns:vt="http://schemas.openxmlformats.org/officeDocument/2006/docPropsVTypes"/>
</file>