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sz w:val="32"/>
        </w:rPr>
        <w:t>PHIẾU ĐÁNH GIÁ SAU DỰ ÁN (STAKEHOLDER)</w:t>
      </w:r>
    </w:p>
    <w:p>
      <w:r>
        <w:rPr>
          <w:rFonts w:ascii="Times New Roman" w:hAnsi="Times New Roman" w:eastAsia="Times New Roman"/>
          <w:b w:val="0"/>
          <w:sz w:val="28"/>
        </w:rPr>
        <w:t>Dự án: Hệ thống bán hàng online ABC Wear (ABC-WSS-PM_26I_09)  |  Stakeholder: Công ty Cổ phần ABC Wear / Chuỗi cửa hàng ABC Wear  |  Ngày: 2027-01-22</w:t>
      </w:r>
    </w:p>
    <w:p>
      <w:r>
        <w:rPr>
          <w:rFonts w:ascii="Times New Roman" w:hAnsi="Times New Roman" w:eastAsia="Times New Roman"/>
          <w:b/>
          <w:sz w:val="28"/>
        </w:rPr>
        <w:t>1. Những gì làm tốt</w:t>
      </w:r>
    </w:p>
    <w:p>
      <w:r>
        <w:rPr>
          <w:rFonts w:ascii="Times New Roman" w:hAnsi="Times New Roman" w:eastAsia="Times New Roman"/>
          <w:b w:val="0"/>
          <w:sz w:val="28"/>
        </w:rPr>
        <w:t>Quyết định lùi go-live để xử lý triệt để đồng bộ tồn kho; UAT đợt 2 đạt; hệ thống vận hành ổn định đón cao điểm Tết (11.200 đơn tháng đầu); P95 1,38 giây; uptime 99,8%; 0 lỗi Critical/High tại go-live.</w:t>
      </w:r>
    </w:p>
    <w:p>
      <w:r>
        <w:rPr>
          <w:rFonts w:ascii="Times New Roman" w:hAnsi="Times New Roman" w:eastAsia="Times New Roman"/>
          <w:b/>
          <w:sz w:val="28"/>
        </w:rPr>
        <w:t>2. Thách thức chính</w:t>
      </w:r>
    </w:p>
    <w:p>
      <w:r>
        <w:rPr>
          <w:rFonts w:ascii="Times New Roman" w:hAnsi="Times New Roman" w:eastAsia="Times New Roman"/>
          <w:b w:val="0"/>
          <w:sz w:val="28"/>
        </w:rPr>
        <w:t>Chậm 01 tháng so với kế hoạch (SPI 0,86); phát sinh 45.000.000 VNĐ hỗ trợ kỹ thuật; UAT đợt 1 chưa đạt; thông báo delay sang Marketing chậm khoảng 05 ngày; tỷ lệ hài lòng các bên 81,5% (thấp hơn kỳ vọng &gt;=85%).</w:t>
      </w:r>
    </w:p>
    <w:p>
      <w:r>
        <w:rPr>
          <w:rFonts w:ascii="Times New Roman" w:hAnsi="Times New Roman" w:eastAsia="Times New Roman"/>
          <w:b/>
          <w:sz w:val="28"/>
        </w:rPr>
        <w:t>3. Khuyến nghị</w:t>
      </w:r>
    </w:p>
    <w:p>
      <w:r>
        <w:rPr>
          <w:rFonts w:ascii="Times New Roman" w:hAnsi="Times New Roman" w:eastAsia="Times New Roman"/>
          <w:b w:val="0"/>
          <w:sz w:val="28"/>
        </w:rPr>
        <w:t>Bắt buộc PoC tích hợp/tải sớm; mở rộng stakeholder Tài chính ngay từ SRS; quỹ dự phòng thời gian 15-20% cho SIT/UAT; cảnh báo go-live tối thiểu 30 ngày cho khối Kinh doanh/Marketing.</w:t>
      </w:r>
    </w:p>
    <w:p>
      <w:r>
        <w:rPr>
          <w:rFonts w:ascii="Times New Roman" w:hAnsi="Times New Roman" w:eastAsia="Times New Roman"/>
          <w:b/>
          <w:sz w:val="28"/>
        </w:rPr>
        <w:t>4. Đánh giá nhanh (1-5, để trống nếu chưa có đánh giá)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/>
                <w:sz w:val="28"/>
              </w:rPr>
              <w:t>Mức độ đạt mục tiêu dự án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/>
                <w:sz w:val="28"/>
              </w:rPr>
              <w:t>Chất lượng giao tiếp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sz w:val="28"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/>
                <w:sz w:val="28"/>
              </w:rPr>
              <w:t>Quản lý thay đổi / rủi ro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sz w:val="28"/>
              </w:rP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/>
                <w:sz w:val="28"/>
              </w:rPr>
              <w:t>Sẵn sàng vận hành sau bàn giao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Times New Roman"/>
                <w:b w:val="0"/>
                <w:sz w:val="28"/>
              </w:rPr>
              <w:t>5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