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80" w:line="276.00000545454543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BÁO CÁO TỔNG KẾT DỰ ÁN</w:t>
      </w:r>
    </w:p>
    <w:p w:rsidR="00000000" w:rsidDel="00000000" w:rsidP="00000000" w:rsidRDefault="00000000" w:rsidRPr="00000000" w14:paraId="00000002">
      <w:pPr>
        <w:widowControl w:val="0"/>
        <w:spacing w:after="240" w:line="276.00000545454543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(Project Closeout Report)</w:t>
      </w:r>
    </w:p>
    <w:p w:rsidR="00000000" w:rsidDel="00000000" w:rsidP="00000000" w:rsidRDefault="00000000" w:rsidRPr="00000000" w14:paraId="00000003">
      <w:pPr>
        <w:widowControl w:val="0"/>
        <w:spacing w:after="120" w:line="276.00000545454543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Đơn vị: Công ty Cổ phần ABC Wear (CĐT) / Nhóm 09-20261 (nhà thầu)</w:t>
      </w:r>
    </w:p>
    <w:p w:rsidR="00000000" w:rsidDel="00000000" w:rsidP="00000000" w:rsidRDefault="00000000" w:rsidRPr="00000000" w14:paraId="00000004">
      <w:pPr>
        <w:widowControl w:val="0"/>
        <w:spacing w:after="120" w:line="276.00000545454543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Dự án: Hệ thống bán hàng online ABC Wear</w:t>
      </w:r>
    </w:p>
    <w:p w:rsidR="00000000" w:rsidDel="00000000" w:rsidP="00000000" w:rsidRDefault="00000000" w:rsidRPr="00000000" w14:paraId="00000005">
      <w:pPr>
        <w:widowControl w:val="0"/>
        <w:spacing w:after="360" w:line="276.00000545454543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Mã: ABC-WSS-PM_26I_09  |  PM: Nguyễn Đức Tân  |  Sponsor: Đại diện ABC Wear  |  Ngày: 2027-01-22  |  Phiên bản: 1.1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line="167.9999869565217" w:lineRule="auto"/>
        <w:rPr>
          <w:rFonts w:ascii="Times New Roman" w:cs="Times New Roman" w:eastAsia="Times New Roman" w:hAnsi="Times New Roman"/>
          <w:color w:val="1f4e79"/>
          <w:sz w:val="32"/>
          <w:szCs w:val="32"/>
        </w:rPr>
      </w:pPr>
      <w:bookmarkStart w:colFirst="0" w:colLast="0" w:name="_heading=h.lf6p5wtax54f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Lịch sử phiên bản</w:t>
      </w:r>
    </w:p>
    <w:tbl>
      <w:tblPr>
        <w:tblStyle w:val="Table1"/>
        <w:tblW w:w="89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2220"/>
        <w:gridCol w:w="2280"/>
        <w:gridCol w:w="2205"/>
        <w:tblGridChange w:id="0">
          <w:tblGrid>
            <w:gridCol w:w="2205"/>
            <w:gridCol w:w="2220"/>
            <w:gridCol w:w="2280"/>
            <w:gridCol w:w="22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Phiên bản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Tác giả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Thay đổi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2027-01-22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Nguyễn Đức Tân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Bản khởi tạo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spacing w:line="167.9999869565217" w:lineRule="auto"/>
        <w:rPr>
          <w:rFonts w:ascii="Times New Roman" w:cs="Times New Roman" w:eastAsia="Times New Roman" w:hAnsi="Times New Roman"/>
          <w:color w:val="1f4e79"/>
          <w:sz w:val="32"/>
          <w:szCs w:val="32"/>
        </w:rPr>
      </w:pPr>
      <w:bookmarkStart w:colFirst="0" w:colLast="0" w:name="_heading=h.8zxbbuhygcbk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1. Tóm tắt kết quả dự án</w:t>
      </w:r>
    </w:p>
    <w:p w:rsidR="00000000" w:rsidDel="00000000" w:rsidP="00000000" w:rsidRDefault="00000000" w:rsidRPr="00000000" w14:paraId="00000018">
      <w:pPr>
        <w:widowControl w:val="0"/>
        <w:spacing w:after="120" w:line="276.0000054545454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Dự án xây dựng hệ thống bán hàng trực tuyến cho ABC Wear (sản phẩm, thành viên, đơn hàng/thanh toán, Selling DB, tích hợp Main System/logistics). Kế hoạch ban đầu: 22/06/2026-22/12/2026, go-live 25/11/2026, giá trị hợp đồng 897.600.000 VNĐ (đã gồm VAT). Thực tế thực hiện 07 tháng (22/06/2026-22/01/2027): go-live ngày 25/12/2026 (chậm 01 tháng theo CR-03), hoàn tất hỗ trợ tăng cường ngày 22/01/2027; quyết toán 942.600.000 VNĐ sau phụ lục hỗ trợ kỹ thuật 45.000.000 VNĐ. Nguyên nhân chính: xử lý xung đột đồng bộ tồn kho với Main System và bổ sung đối soát thanh toán trong giai đoạn SIT/UAT.</w:t>
      </w:r>
    </w:p>
    <w:p w:rsidR="00000000" w:rsidDel="00000000" w:rsidP="00000000" w:rsidRDefault="00000000" w:rsidRPr="00000000" w14:paraId="00000019">
      <w:pPr>
        <w:widowControl w:val="0"/>
        <w:spacing w:after="120" w:line="276.00000545454543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Mức độ đạt mục tiêu</w:t>
      </w:r>
    </w:p>
    <w:p w:rsidR="00000000" w:rsidDel="00000000" w:rsidP="00000000" w:rsidRDefault="00000000" w:rsidRPr="00000000" w14:paraId="0000001A">
      <w:pPr>
        <w:widowControl w:val="0"/>
        <w:spacing w:after="120" w:line="276.0000054545454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Đạt phạm vi và chất lượng cam kết sau điều chỉnh kỹ thuật (UAT đợt 2 đạt ngày 18/12/2026; vận hành chính thức 25/12/2026). Tiến độ chậm 01 tháng so với kế hoạch; chi phí tăng 45.000.000 VNĐ (+5,01%). Chỉ số tham chiếu: SPI = 0,86; CPI = 0,95. P95 thực tế 1,38 giây; độ sẵn sàng 99,8%; không còn lỗi Critical/High tại go-live.</w:t>
      </w:r>
    </w:p>
    <w:p w:rsidR="00000000" w:rsidDel="00000000" w:rsidP="00000000" w:rsidRDefault="00000000" w:rsidRPr="00000000" w14:paraId="0000001B">
      <w:pPr>
        <w:widowControl w:val="0"/>
        <w:spacing w:after="120" w:line="276.00000545454543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Nhận xét chung</w:t>
      </w:r>
    </w:p>
    <w:p w:rsidR="00000000" w:rsidDel="00000000" w:rsidP="00000000" w:rsidRDefault="00000000" w:rsidRPr="00000000" w14:paraId="0000001C">
      <w:pPr>
        <w:widowControl w:val="0"/>
        <w:spacing w:after="120" w:line="276.0000054545454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Báo cáo tổng kết được cập nhật theo số liệu thực tế trong Báo cáo đánh giá dự án: chậm tiến độ 01 tháng và phát sinh chi phí hỗ trợ kỹ thuật đã được CCB/phụ lục hợp đồng chấp thuận. Hợp đồng chuyển sang giai đoạn bảo hành 12 tháng kể từ nghiệm thu/đóng ngày 22/01/2027.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line="167.9999869565217" w:lineRule="auto"/>
        <w:rPr>
          <w:rFonts w:ascii="Times New Roman" w:cs="Times New Roman" w:eastAsia="Times New Roman" w:hAnsi="Times New Roman"/>
          <w:color w:val="1f4e79"/>
          <w:sz w:val="32"/>
          <w:szCs w:val="32"/>
        </w:rPr>
      </w:pPr>
      <w:bookmarkStart w:colFirst="0" w:colLast="0" w:name="_heading=h.f59rtrj3qql9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2. Hiệu quả quản lý (baseline vs thực tế)</w:t>
      </w:r>
    </w:p>
    <w:p w:rsidR="00000000" w:rsidDel="00000000" w:rsidP="00000000" w:rsidRDefault="00000000" w:rsidRPr="00000000" w14:paraId="0000001E">
      <w:pPr>
        <w:widowControl w:val="0"/>
        <w:spacing w:after="120" w:line="276.0000054545454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với đường cơ sở: phạm vi hoàn thành đủ; tiến độ chậm 30 ngày (go-live 25/12/2026, đóng 22/01/2027); chi phí tăng 45.000.000 VNĐ; chất lượng kỹ thuật đạt/ vượt cam kết sau tái cấu trúc tầng đệm tích hợp.</w:t>
      </w:r>
    </w:p>
    <w:tbl>
      <w:tblPr>
        <w:tblStyle w:val="Table2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85"/>
        <w:gridCol w:w="2220"/>
        <w:gridCol w:w="2355"/>
        <w:gridCol w:w="2205"/>
        <w:tblGridChange w:id="0">
          <w:tblGrid>
            <w:gridCol w:w="2085"/>
            <w:gridCol w:w="2220"/>
            <w:gridCol w:w="2355"/>
            <w:gridCol w:w="220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Lĩnh vực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Kế hoạch (baseline)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Thực tế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Chênh lệch / ghi chú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bán hàng trực tuyến, Selling DB và năm luồng tích hợp; ngoài phạm vi: chức năng hành chính nội bộ; bảo hành 12 tháng sau nghiệm thu.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100% hạng mục cam kết; bổ sung cơ chế đệm Redis/RabbitMQ và đối soát thanh toán bán tự động theo yêu cầu phát sinh trong UAT.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vi chức năng cốt lõi không cắt giảm; có thay đổi kỹ thuật CR-03 (tái cấu trúc middleware) và bổ sung đối soát thanh toán.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 tháng (22/06/2026-22/12/2026); go-live 25/11/2026; nghiệm thu tổng thể/đóng 22/12/2026.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 tháng (22/06/2026-22/01/2027); go-live 25/12/2026; hoàn tất hypercare/đóng 22/01/2027. UAT đợt 1 chưa đạt 10/11/2026; UAT đợt 2 đạt 18/12/2026.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Chậm 01 tháng (30 ngày); SPI = 0,86. Nguyên nhân: kéo dài SIT/UAT để xử lý đồng bộ tồn kho và đối soát thanh toán (CR-03).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897.600.000 VNĐ (đã gồm VAT), hợp đồng trọn gói; dự phòng rủi ro nội bộ 89.760.000 VNĐ.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942.600.000 VNĐ (đã gồm VAT), gồm phụ lục hỗ trợ kỹ thuật 45.000.000 VNĐ (01/PLHĐ-ABC-2026). CPI = 0,95.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Tăng 45.000.000 VNĐ (+5,01%) so với giá hợp đồng ban đầu; chi phí nhân công bên nhà thầu tăng 30.000.000 VNĐ trong giai đoạn hỗ trợ onsite.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Quality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 + P95 không quá 2 giây + ATTT; UAT đạt trước go-live; tiêu chí A1-A3, B1-B4, C1-C3.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P95 = 1,38 giây; sẵn sàng 99,8%; chịu tải thử 600 CCU; sai lệch tồn kho 0,02%; 0 lỗi Critical/High tại go-live. Tỷ lệ hài lòng các bên liên quan 81,5%.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 số kỹ thuật đạt/vượt cam kết. Mức hài lòng 81,5% thấp hơn kỳ vọng ban đầu (&gt;=85%), chủ yếu do chậm tiến độ ảnh hưởng kế hoạch kinh doanh.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rủi ro theo dõi; ưu tiên mức A; quỹ dự phòng 89.760.000 VNĐ; rà soát tuần và tại các mốc.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Rủi ro tích hợp/tồn kho và yêu cầu đối soát phát sinh đã hiện thực hóa; xử lý qua CR-03, PoC/tái cấu trúc middleware và phụ lục chi phí. Chuyển giai đoạn bảo hành 12 tháng từ 22/01/2027.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Dự phòng thời gian/chi phí kỹ thuật đã được sử dụng một phần qua phụ lục 45.000.000 VNĐ; bài học: PoC tải sớm và mở rộng stakeholder Tài chính ngay từ SRS.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keepNext w:val="0"/>
        <w:keepLines w:val="0"/>
        <w:widowControl w:val="0"/>
        <w:spacing w:line="167.9999869565217" w:lineRule="auto"/>
        <w:rPr>
          <w:rFonts w:ascii="Times New Roman" w:cs="Times New Roman" w:eastAsia="Times New Roman" w:hAnsi="Times New Roman"/>
          <w:color w:val="1f4e79"/>
          <w:sz w:val="32"/>
          <w:szCs w:val="32"/>
        </w:rPr>
      </w:pPr>
      <w:bookmarkStart w:colFirst="0" w:colLast="0" w:name="_heading=h.ayyjylyx3kk4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3. Bài học kinh nghiệm</w:t>
      </w:r>
    </w:p>
    <w:p w:rsidR="00000000" w:rsidDel="00000000" w:rsidP="00000000" w:rsidRDefault="00000000" w:rsidRPr="00000000" w14:paraId="00000038">
      <w:pPr>
        <w:widowControl w:val="0"/>
        <w:spacing w:after="120" w:line="276.0000054545454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Bốn bài học dưới đây được cập nhật theo diễn biến thực tế trong Báo cáo đánh giá dự án (chậm tiến độ SIT/UAT và phát sinh chi phí hỗ trợ kỹ thuật).</w:t>
      </w:r>
    </w:p>
    <w:tbl>
      <w:tblPr>
        <w:tblStyle w:val="Table3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1995"/>
        <w:gridCol w:w="1680"/>
        <w:gridCol w:w="2055"/>
        <w:gridCol w:w="1365"/>
        <w:tblGridChange w:id="0">
          <w:tblGrid>
            <w:gridCol w:w="1785"/>
            <w:gridCol w:w="1995"/>
            <w:gridCol w:w="1680"/>
            <w:gridCol w:w="2055"/>
            <w:gridCol w:w="13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Sự việc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Nguyên nhân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Khuyến nghị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Mức</w:t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Go-live dời từ 25/11/2026 sang 25/12/2026; tổng thời gian thực hiện kéo dài thành 07 tháng, kết thúc 22/01/2027.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SIT/UAT phát hiện xung đột khóa dữ liệu tồn kho với Main System và thiếu yêu cầu đối soát thanh toán từ phòng Tài chính; cần thêm thời gian tái cấu trúc tầng đệm.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Đo tải PoC trên hệ thống kế thừa trong 03 tuần đầu; cảnh báo sớm mốc go-live tối thiểu 30 ngày cho khối Kinh doanh/Marketing; dành dự phòng thời gian 15-20% trên đường găng cho SIT/UAT.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3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Technical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Tỷ lệ lỗi đồng bộ tồn kho lên tới 8,4% khi mô phỏng tải cao; phải tái cấu trúc middleware dùng Redis/RabbitMQ trước khi go-live.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Thiết kế ban đầu phụ thuộc giả định chịu tải của API/CSDL Main System; thiếu môi trường Staging quy mô tương đương Production sớm.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Bắt buộc PoC tích hợp và thử tải thực tế trước khi phê duyệt kiến trúc; cô lập tải bằng hàng đợi/bộ đệm; không truy vấn trực tiếp CSDL hệ thống cũ từ website.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Phát sinh phụ lục 45.000.000 VNĐ hỗ trợ kỹ thuật onsite/Staging; thông báo delay sang khối Marketing chậm khoảng 05 ngày sau khi phát hiện sự cố.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SRS giai đoạn đầu thiếu đại diện Tài chính-Kế toán; quy trình cảnh báo liên phòng ban chưa đủ sớm khi rủi ro tiến độ hiện hữu.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Bắt buộc ký nháy SRS với các phòng kiểm soát (Tài chính, Kiểm toán, Pháp chế) từ mốc M1; mọi nguy cơ chậm tiến độ báo ngay cho khối Kinh doanh để điều chỉnh chiến dịch.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Quality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UAT đợt 1 (10/11/2026) chưa đạt; UAT đợt 2 (18/12/2026) đạt 100%. Sau go-live, P95 1,38 giây và 0 lỗi Critical/High.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Lịch kiểm thử ban đầu sát cut-over; dữ liệu thử sớm không phản ánh tải và quy mô mã hàng thực tế.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 go-live khi còn lỗi Critical/High; có runbook quay lui; tăng kiểm thử tải trên Staging đủ dữ liệu trước UAT chính thức.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keepNext w:val="0"/>
        <w:keepLines w:val="0"/>
        <w:widowControl w:val="0"/>
        <w:spacing w:line="167.9999869565217" w:lineRule="auto"/>
        <w:rPr>
          <w:rFonts w:ascii="Times New Roman" w:cs="Times New Roman" w:eastAsia="Times New Roman" w:hAnsi="Times New Roman"/>
          <w:color w:val="1f4e79"/>
          <w:sz w:val="32"/>
          <w:szCs w:val="32"/>
        </w:rPr>
      </w:pPr>
      <w:bookmarkStart w:colFirst="0" w:colLast="0" w:name="_heading=h.p5xdtedcbct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4. Đóng hành chính / nghiệm thu</w:t>
      </w:r>
    </w:p>
    <w:p w:rsidR="00000000" w:rsidDel="00000000" w:rsidP="00000000" w:rsidRDefault="00000000" w:rsidRPr="00000000" w14:paraId="00000053">
      <w:pPr>
        <w:widowControl w:val="0"/>
        <w:spacing w:after="120" w:line="276.0000054545454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sản phẩm bàn giao đã nghiệm thu theo biên bản UAT đợt 2 (18/12/2026) và quyết định vận hành chính thức (25/12/2026); đóng dự án/hoàn tất hypercare ngày 22/01/2027 theo Báo cáo đánh giá.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widowControl w:val="0"/>
        <w:spacing w:line="211.05883058823525" w:lineRule="auto"/>
        <w:rPr>
          <w:rFonts w:ascii="Times New Roman" w:cs="Times New Roman" w:eastAsia="Times New Roman" w:hAnsi="Times New Roman"/>
          <w:color w:val="2e75b6"/>
          <w:sz w:val="28"/>
          <w:szCs w:val="28"/>
        </w:rPr>
      </w:pPr>
      <w:bookmarkStart w:colFirst="0" w:colLast="0" w:name="_heading=h.xxrhw3g14f2j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2e75b6"/>
          <w:sz w:val="28"/>
          <w:szCs w:val="28"/>
          <w:rtl w:val="0"/>
        </w:rPr>
        <w:t xml:space="preserve">4.1 Deliverable &amp; chấp nhận</w:t>
      </w:r>
    </w:p>
    <w:tbl>
      <w:tblPr>
        <w:tblStyle w:val="Table4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60"/>
        <w:gridCol w:w="1935"/>
        <w:gridCol w:w="2235"/>
        <w:gridCol w:w="1935"/>
        <w:tblGridChange w:id="0">
          <w:tblGrid>
            <w:gridCol w:w="2760"/>
            <w:gridCol w:w="1935"/>
            <w:gridCol w:w="2235"/>
            <w:gridCol w:w="19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Chấp nhận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Minh chứng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Ngày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SRS / AS-IS / New Operational Flow (M1)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Nghiệm thu theo hồ sơ chuyển pha / đặc tả đã phê duyệt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2026-07-31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HLD/LLD/UI/CSDL/thiết kế tích hợp (M2)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Hồ sơ thiết kế; sau đó có điều chỉnh kiến trúc tầng đệm theo CR-03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2026-08-28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Web Selling Site + 05 adapter tích hợp (M3)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xây dựng; tái cấu trúc middleware trước UAT đợt 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2026-11-05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Kết quả SIT / hiệu năng / OWASP / UAT (M4)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UAT đợt 1 chưa đạt (10/11/2026); UAT đợt 2 đạt (18/12/2026)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2026-12-18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Go-live PROD + tài liệu HDSD/vận hành / đào tạo (M5)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Quyết định vận hành chính thức ngày 25/12/2026; bàn giao Runbook/đào tạo bổ sung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2026-12-25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Nghiệm thu tổng thể / đóng dự án (M6)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tất hypercare và nghiệm thu đóng ngày 22/01/2027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2027-01-22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keepNext w:val="0"/>
        <w:keepLines w:val="0"/>
        <w:widowControl w:val="0"/>
        <w:spacing w:line="211.05883058823525" w:lineRule="auto"/>
        <w:rPr>
          <w:rFonts w:ascii="Times New Roman" w:cs="Times New Roman" w:eastAsia="Times New Roman" w:hAnsi="Times New Roman"/>
          <w:color w:val="2e75b6"/>
          <w:sz w:val="28"/>
          <w:szCs w:val="28"/>
        </w:rPr>
      </w:pPr>
      <w:bookmarkStart w:colFirst="0" w:colLast="0" w:name="_heading=h.de0r1lo8b1bx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2e75b6"/>
          <w:sz w:val="28"/>
          <w:szCs w:val="28"/>
          <w:rtl w:val="0"/>
        </w:rPr>
        <w:t xml:space="preserve">4.2 Hạng mục còn mở</w:t>
      </w:r>
    </w:p>
    <w:tbl>
      <w:tblPr>
        <w:tblStyle w:val="Table5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95"/>
        <w:gridCol w:w="2220"/>
        <w:gridCol w:w="2175"/>
        <w:gridCol w:w="2175"/>
        <w:tblGridChange w:id="0">
          <w:tblGrid>
            <w:gridCol w:w="2295"/>
            <w:gridCol w:w="2220"/>
            <w:gridCol w:w="2175"/>
            <w:gridCol w:w="2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Hạng mục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Hạn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Thực hiện bảo hành 12 tháng và hỗ trợ kỹ thuật cấp 2/3 theo cam kết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Đức Tân / Trần Hùng 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2028-01-22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Theo dõi hiệu năng Production định kỳ trong 03 tháng đầu sau nghiệm thu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Hùng E / IT ABC Wear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2027-04-22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keepNext w:val="0"/>
        <w:keepLines w:val="0"/>
        <w:widowControl w:val="0"/>
        <w:spacing w:line="167.9999869565217" w:lineRule="auto"/>
        <w:rPr>
          <w:rFonts w:ascii="Times New Roman" w:cs="Times New Roman" w:eastAsia="Times New Roman" w:hAnsi="Times New Roman"/>
          <w:color w:val="1f4e79"/>
          <w:sz w:val="32"/>
          <w:szCs w:val="32"/>
        </w:rPr>
      </w:pPr>
      <w:bookmarkStart w:colFirst="0" w:colLast="0" w:name="_heading=h.gdr3wko6you6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5. Đóng hợp đồng</w:t>
      </w:r>
    </w:p>
    <w:p w:rsidR="00000000" w:rsidDel="00000000" w:rsidP="00000000" w:rsidRDefault="00000000" w:rsidRPr="00000000" w14:paraId="0000007F">
      <w:pPr>
        <w:widowControl w:val="0"/>
        <w:spacing w:after="120" w:line="276.0000054545454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Hợp đồng gốc 897.600.000 VNĐ; phụ lục 01/PLHĐ-ABC-2026 bổ sung 45.000.000 VNĐ hỗ trợ kỹ thuật; tổng quyết toán 942.600.000 VNĐ. Sau nghiệm thu 22/01/2027 chuyển bảo hành 12 tháng, chưa đóng hợp đồng hoàn toàn đến hết bảo hành.</w:t>
      </w:r>
    </w:p>
    <w:tbl>
      <w:tblPr>
        <w:tblStyle w:val="Table6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0"/>
        <w:gridCol w:w="2880"/>
        <w:gridCol w:w="3000"/>
        <w:tblGridChange w:id="0">
          <w:tblGrid>
            <w:gridCol w:w="3000"/>
            <w:gridCol w:w="2880"/>
            <w:gridCol w:w="3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Hợp đồng / gói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Hợp đồng gói thầu ABC-WSS-PM_26I_09 và Phụ lục 01/PLHĐ-ABC-2026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Đang bảo hành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Quyết toán 942.600.000 VNĐ; bảo hành đến khoảng 22/01/2028. Chờ phê duyệt quyết toán và giải ngân đợt cuối theo kiến nghị Báo cáo đánh giá.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keepNext w:val="0"/>
        <w:keepLines w:val="0"/>
        <w:widowControl w:val="0"/>
        <w:spacing w:line="167.9999869565217" w:lineRule="auto"/>
        <w:rPr>
          <w:rFonts w:ascii="Times New Roman" w:cs="Times New Roman" w:eastAsia="Times New Roman" w:hAnsi="Times New Roman"/>
          <w:color w:val="1f4e79"/>
          <w:sz w:val="32"/>
          <w:szCs w:val="32"/>
        </w:rPr>
      </w:pPr>
      <w:bookmarkStart w:colFirst="0" w:colLast="0" w:name="_heading=h.9r4s1gxkkd6y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6. Lưu trữ và phân phối</w:t>
      </w:r>
    </w:p>
    <w:p w:rsidR="00000000" w:rsidDel="00000000" w:rsidP="00000000" w:rsidRDefault="00000000" w:rsidRPr="00000000" w14:paraId="00000087">
      <w:pPr>
        <w:widowControl w:val="0"/>
        <w:spacing w:after="120" w:line="276.0000054545454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Lưu bộ hồ sơ quản lý dự án, báo cáo đánh giá, biên bản UAT/go-live và phụ lục hợp đồng; duy trì theo dõi bảo hành.</w:t>
      </w:r>
    </w:p>
    <w:tbl>
      <w:tblPr>
        <w:tblStyle w:val="Table7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55"/>
        <w:gridCol w:w="2955"/>
        <w:gridCol w:w="2955"/>
        <w:tblGridChange w:id="0">
          <w:tblGrid>
            <w:gridCol w:w="2955"/>
            <w:gridCol w:w="2955"/>
            <w:gridCol w:w="29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Tài liệu / artifact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Vị trí lưu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Phân phối tới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Kế hoạch quản lý dự án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Hồ sơ Kế hoạch quản lý dự án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PM / Sponsor / đội dự án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Kế hoạch và sổ đăng ký rủi ro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Hồ sơ Quản lý rủi ro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PM / Sponsor / đội dự án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Hồ sơ mời thầu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Hồ sơ mời thầu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PM / bộ phận thầu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Hồ sơ dự thầu, cấu trúc công việc và bảng tiến độ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Hồ sơ đầu vào dự án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PM / lưu trữ dự án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Biên bản UAT, quyết định go-live và báo cáo đánh giá dự án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Hồ sơ nghiệm thu và đánh giá dự án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PM / Sponsor / pháp chế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Báo cáo đánh giá dự án (ABC-EVR-09)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Hồ sơ đánh giá / tổng kết dự án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Chủ đầu tư / Ban QLDA / Nhà thầu</w:t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keepNext w:val="0"/>
        <w:keepLines w:val="0"/>
        <w:widowControl w:val="0"/>
        <w:spacing w:line="167.9999869565217" w:lineRule="auto"/>
        <w:rPr>
          <w:rFonts w:ascii="Times New Roman" w:cs="Times New Roman" w:eastAsia="Times New Roman" w:hAnsi="Times New Roman"/>
          <w:color w:val="1f4e79"/>
          <w:sz w:val="32"/>
          <w:szCs w:val="32"/>
        </w:rPr>
      </w:pPr>
      <w:bookmarkStart w:colFirst="0" w:colLast="0" w:name="_heading=h.fks4sab2w1lx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7. Tham chiếu</w:t>
      </w:r>
    </w:p>
    <w:p w:rsidR="00000000" w:rsidDel="00000000" w:rsidP="00000000" w:rsidRDefault="00000000" w:rsidRPr="00000000" w14:paraId="0000009E">
      <w:pPr>
        <w:widowControl w:val="0"/>
        <w:spacing w:after="120" w:line="276.0000054545454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Kế hoạch quản lý dự án; Kế hoạch và sổ đăng ký rủi ro; Hồ sơ dự thầu; Cấu trúc công việc; Bảng tiến độ; Hồ sơ mời thầu; Báo cáo đánh giá dự án; Phụ lục hợp đồng 01/PLHĐ-ABC-2026.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widowControl w:val="0"/>
        <w:spacing w:line="167.9999869565217" w:lineRule="auto"/>
        <w:rPr>
          <w:rFonts w:ascii="Times New Roman" w:cs="Times New Roman" w:eastAsia="Times New Roman" w:hAnsi="Times New Roman"/>
          <w:color w:val="1f4e79"/>
          <w:sz w:val="32"/>
          <w:szCs w:val="32"/>
        </w:rPr>
      </w:pPr>
      <w:bookmarkStart w:colFirst="0" w:colLast="0" w:name="_heading=h.ickjcsqgjl1s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Phê duyệt đóng dự án</w:t>
      </w:r>
    </w:p>
    <w:tbl>
      <w:tblPr>
        <w:tblStyle w:val="Table8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0"/>
        <w:gridCol w:w="2925"/>
        <w:gridCol w:w="2940"/>
        <w:tblGridChange w:id="0">
          <w:tblGrid>
            <w:gridCol w:w="3000"/>
            <w:gridCol w:w="2925"/>
            <w:gridCol w:w="29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Họ tên / Chữ ký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Ngày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Sponsor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Đại diện khách hàng / nhận bàn giao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C">
      <w:pPr>
        <w:widowControl w:val="0"/>
        <w:spacing w:line="276.0000054545454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Rg1GTywC/kD1sav9LH9/jatyRA==">CgMxLjAyDmgubGY2cDV3dGF4NTRmMg5oLjh6eGJidWh5Z2NiazIOaC5mNTlydHJqM3FxbDkyDmguYXl5anlseXgza2s0Mg5oLnA1eGR0ZWRjYmN0MzIOaC54eHJodzNnMTRmMmoyDmguZGUwcjFsbzhiMWJ4Mg5oLmdkcjN3a282eW91NjIOaC45cjRzMWd4a2tkNnkyDmguZmtzNHNhYjJ3MWx4Mg5oLmlja2pjc3FnamwxczgAciExcWRjR3hKeDRDTmpxN2NtdzUxNktoX2s5WFVHTThOa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