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hAnsi="Times New Roman"/>
          <w:color w:val="000000"/>
        </w:rPr>
        <w:t>PHIẾU ĐÁNH GIÁ SAU DỰ ÁN (STAKEHOLDER)</w:t>
      </w:r>
    </w:p>
    <w:p>
      <w:pPr>
        <w:spacing w:after="40" w:before="0"/>
      </w:pPr>
      <w:r>
        <w:rPr>
          <w:rFonts w:ascii="Times New Roman" w:hAnsi="Times New Roman"/>
          <w:color w:val="000000"/>
        </w:rPr>
        <w:t>Dự án: Xây dựng hệ thống kênh bán hàng qua Internet cho chuỗi cửa hàng ABC Wear (ABC-WSS-PM_26I_09)</w:t>
      </w:r>
    </w:p>
    <w:p>
      <w:pPr>
        <w:spacing w:after="200" w:before="0"/>
      </w:pPr>
      <w:r>
        <w:rPr>
          <w:rFonts w:ascii="Times New Roman" w:hAnsi="Times New Roman"/>
          <w:color w:val="000000"/>
        </w:rPr>
        <w:t>Stakeholder: Công ty Cổ phần ABC Wear / Phòng Kế hoạch &amp; Ban Lãnh đạo  |  Ngày: 22/08/2026 (sau Hypercare)</w:t>
      </w:r>
    </w:p>
    <w:p>
      <w:pPr>
        <w:spacing w:after="80" w:before="120"/>
      </w:pPr>
      <w:r>
        <w:rPr>
          <w:rFonts w:ascii="Times New Roman" w:hAnsi="Times New Roman"/>
          <w:color w:val="000000"/>
        </w:rPr>
        <w:t>1. Những gì làm tốt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Quyết định gia hạn Go-live thêm 02 tuần (PLHĐ 01) để hoàn thiện tích hợp đa kênh Shopee / TikTok Shop / Facebook Shop và kiểm thử tải Webhook toàn diện.</w:t>
      </w:r>
    </w:p>
    <w:p>
      <w:pPr>
        <w:spacing w:after="120" w:before="0"/>
      </w:pPr>
      <w:r/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• Giải ngân kinh phí từ quỹ dự phòng đã duyệt cho 250 giờ làm thêm giờ kỹ thuật, không làm tăng tổng giá trị hợp đồng trọn gói.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Go-live đúng mốc điều chỉnh 15/07/2026; hệ thống vận hành ổn định trong giai đoạn Hypercare; P95 đạt dưới 2 giây; uptime ≥99,9%; 0 lỗi Critical/High tại thời điểm Go-live.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Bàn giao đầy đủ tài liệu kỹ thuật, đào tạo và Runbook vận hành trước khi kết thúc Hypercare 15/08/2026.</w:t>
      </w:r>
    </w:p>
    <w:p>
      <w:pPr>
        <w:spacing w:after="80" w:before="160"/>
      </w:pPr>
      <w:r>
        <w:rPr>
          <w:rFonts w:ascii="Times New Roman" w:hAnsi="Times New Roman"/>
          <w:color w:val="000000"/>
        </w:rPr>
        <w:t>2. Thách thức chính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Yêu cầu mở rộng Omnichannel (CR-2026-004) phát sinh giữa Sprint 2–3, đòi hỏi OT chuyên sâu và gia hạn tiến độ 02 tuần.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Phụ thuộc bàn giao tài khoản Sandbox / App ID / dữ liệu mẫu 500 SKU từ Bên A; cần kỷ luật thời hạn chặt để không trượt lịch Adapter.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Cơ chế OAuth 2.0, Rate Limiting sàn và Webhook trùng lặp đòi hỏi thiết kế tầng đệm (Idempotency Key, RabbitMQ, Mock Server) ngay từ đầu.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Áp lực OT (giới hạn ≤3 giờ/buổi, ≤12 giờ/tuần) cần quản lý nghỉ bù và bồi dưỡng để tránh kiệt sức đội ngũ.</w:t>
      </w:r>
    </w:p>
    <w:p>
      <w:pPr>
        <w:spacing w:after="80" w:before="160"/>
      </w:pPr>
      <w:r>
        <w:rPr>
          <w:rFonts w:ascii="Times New Roman" w:hAnsi="Times New Roman"/>
          <w:color w:val="000000"/>
        </w:rPr>
        <w:t>3. Khuyến nghị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Thiết kế Selling DB và API Gateway theo chuẩn mở rộng đa kênh ngay từ giai đoạn đầu (Sprint 2–3), dù yêu cầu Omnichannel chưa chính thức.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Bắt buộc PoC tích hợp + Mock Server sớm; cam kết bàn giao App ID / Token / Sandbox trước khi bắt đầu lập trình Adapter.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Chỉ trích Quỹ dự phòng khi thay đổi xuất phát từ yêu cầu Chủ đầu tư; giữ giới hạn OT và có chế độ nghỉ bù rõ ràng.</w:t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• Cảnh báo sớm khối Kinh doanh / Marketing tối thiểu 30 ngày nếu có nguy cơ điều chỉnh mốc Go-live; dành buffer 10–15% trên đường găng cho SIT/UAT và thay đổi phạm vi.</w:t>
      </w:r>
    </w:p>
    <w:p>
      <w:pPr>
        <w:spacing w:after="80" w:before="160"/>
      </w:pPr>
      <w:r>
        <w:rPr>
          <w:rFonts w:ascii="Times New Roman" w:hAnsi="Times New Roman"/>
          <w:color w:val="000000"/>
        </w:rPr>
        <w:t>4. Đánh giá nhanh (1–5)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Tiêu chí</w:t>
            </w:r>
          </w:p>
        </w:tc>
        <w:tc>
          <w:tcPr>
            <w:tcW w:type="dxa" w:w="363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hAnsi="Times New Roman"/>
                <w:color w:val="000000"/>
              </w:rPr>
              <w:t>Điểm (1–5)</w:t>
            </w:r>
          </w:p>
        </w:tc>
      </w:tr>
      <w:tr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</w:rPr>
              <w:t>Mức độ đạt mục tiêu dự án</w:t>
            </w:r>
          </w:p>
        </w:tc>
        <w:tc>
          <w:tcPr>
            <w:tcW w:type="dxa" w:w="363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</w:rPr>
              <w:t>5</w:t>
            </w:r>
          </w:p>
        </w:tc>
      </w:tr>
      <w:tr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</w:rPr>
              <w:t>Chất lượng giao tiếp</w:t>
            </w:r>
          </w:p>
        </w:tc>
        <w:tc>
          <w:tcPr>
            <w:tcW w:type="dxa" w:w="363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</w:rPr>
              <w:t>4</w:t>
            </w:r>
          </w:p>
        </w:tc>
      </w:tr>
      <w:tr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</w:rPr>
              <w:t>Quản lý thay đổi / rủi ro</w:t>
            </w:r>
          </w:p>
        </w:tc>
        <w:tc>
          <w:tcPr>
            <w:tcW w:type="dxa" w:w="363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</w:rPr>
              <w:t>5</w:t>
            </w:r>
          </w:p>
        </w:tc>
      </w:tr>
      <w:tr>
        <w:tc>
          <w:tcPr>
            <w:tcW w:type="dxa" w:w="6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</w:rPr>
              <w:t>Sẵn sàng vận hành sau bàn giao</w:t>
            </w:r>
          </w:p>
        </w:tc>
        <w:tc>
          <w:tcPr>
            <w:tcW w:type="dxa" w:w="3638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Times New Roman" w:hAnsi="Times New Roman"/>
                <w:b w:val="0"/>
                <w:color w:val="000000"/>
              </w:rPr>
              <w:t>5</w:t>
            </w:r>
          </w:p>
        </w:tc>
      </w:tr>
    </w:tbl>
    <w:p>
      <w:pPr>
        <w:spacing w:after="120" w:before="0"/>
      </w:pPr>
      <w:r>
        <w:rPr>
          <w:rFonts w:ascii="Times New Roman" w:hAnsi="Times New Roman"/>
          <w:color w:val="000000"/>
        </w:rPr>
      </w:r>
    </w:p>
    <w:p>
      <w:pPr>
        <w:spacing w:after="120" w:before="0"/>
      </w:pPr>
      <w:r>
        <w:rPr>
          <w:rFonts w:ascii="Times New Roman" w:hAnsi="Times New Roman"/>
          <w:color w:val="000000"/>
        </w:rPr>
        <w:t>Ghi chú: Bản đánh giá tạm sau Hypercare (15/08/2026), căn cứ hồ sơ baseline điều chỉnh CR-2026-004 / PLHĐ 01. Có thể cập nhật khi có thêm phản hồi chính thức từ Ban Lãnh đạo ABC Wear.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666666"/>
        <w:sz w:val="18"/>
        <w:szCs w:val="18"/>
      </w:rPr>
      <w:t xml:space="preserve">Trang </w:t>
    </w:r>
    <w:r>
      <w:rPr>
        <w:rFonts w:ascii="Times New Roman" w:cs="Times New Roman" w:eastAsia="Times New Roman" w:hAns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666666"/>
        <w:sz w:val="18"/>
        <w:szCs w:val="18"/>
      </w:rPr>
      <w:t xml:space="preserve">Phiếu Đánh giá sau Dự án (Stakeholder) — ABC-WSS-PM_26I_09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2026-10-25T15:02:16.341Z</dcterms:created>
  <dcterms:modified xsi:type="dcterms:W3CDTF">2026-10-25T15:02:16.341Z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