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CỘNG HÒA XÃ HỘI CHỦ NGHĨA VIỆT NAM</w:t>
      </w:r>
    </w:p>
    <w:p>
      <w:pPr>
        <w:jc w:val="center"/>
        <w:spacing w:before="0" w:after="280" w:line="276" w:lineRule="auto"/>
      </w:pPr>
      <w:r>
        <w:rPr>
          <w:rFonts w:ascii="Times New Roman" w:hAnsi="Times New Roman"/>
          <w:i w:val="0"/>
          <w:color w:val="000000"/>
          <w:sz w:val="25"/>
          <w:rFonts w:ascii="Times New Roman" w:hAnsi="Times New Roman" w:cs="Times New Roman"/>
          <w:rFonts w:ascii="Times New Roman" w:hAnsi="Times New Roman" w:cs="Times New Roman" w:eastAsia="Times New Roman"/>
        </w:rPr>
        <w:t>Độc lập — Tự do — Hạnh phúc</w:t>
      </w:r>
    </w:p>
    <w:p>
      <w:pPr>
        <w:jc w:val="center"/>
        <w:spacing w:before="120" w:after="80" w:line="276" w:lineRule="auto"/>
      </w:pPr>
      <w:r>
        <w:rPr>
          <w:rFonts w:ascii="Times New Roman" w:hAnsi="Times New Roman"/>
          <w:b/>
          <w:i w:val="0"/>
          <w:color w:val="000000"/>
          <w:sz w:val="30"/>
          <w:rFonts w:ascii="Times New Roman" w:hAnsi="Times New Roman" w:cs="Times New Roman"/>
          <w:rFonts w:ascii="Times New Roman" w:hAnsi="Times New Roman" w:cs="Times New Roman" w:eastAsia="Times New Roman"/>
        </w:rPr>
        <w:t>HỢP ĐỒNG CUNG CẤP DỊCH VỤ PHI TƯ VẤN</w:t>
      </w:r>
    </w:p>
    <w:p>
      <w:pPr>
        <w:jc w:val="center"/>
        <w:spacing w:before="0" w:after="4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VỀ VIỆC: PHÁT TRIỂN HỆ THỐNG KÊNH BÁN HÀNG QUA INTERNET</w:t>
      </w:r>
    </w:p>
    <w:p>
      <w:pPr>
        <w:jc w:val="center"/>
        <w:spacing w:before="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Gói thầu số: ABC-WSS-PM_26I_09</w:t>
      </w:r>
    </w:p>
    <w:p>
      <w:pPr>
        <w:jc w:val="center"/>
        <w:spacing w:before="0" w:after="280" w:line="276" w:lineRule="auto"/>
      </w:pPr>
      <w:r>
        <w:rPr>
          <w:rFonts w:ascii="Times New Roman" w:hAnsi="Times New Roman"/>
          <w:i/>
          <w:color w:val="000000"/>
          <w:sz w:val="24"/>
          <w:rFonts w:ascii="Times New Roman" w:hAnsi="Times New Roman" w:cs="Times New Roman"/>
          <w:rFonts w:ascii="Times New Roman" w:hAnsi="Times New Roman" w:cs="Times New Roman" w:eastAsia="Times New Roman"/>
        </w:rPr>
        <w:t>Số: 09/2026/HĐ-DVPTRV-ABCWEAR</w:t>
      </w:r>
    </w:p>
    <w:p>
      <w:pPr>
        <w:jc w:val="both"/>
        <w:spacing w:before="20" w:after="40" w:line="276" w:lineRule="auto"/>
      </w:pPr>
      <w:r>
        <w:rPr>
          <w:rFonts w:ascii="Times New Roman" w:hAnsi="Times New Roman"/>
          <w:i/>
          <w:color w:val="000000"/>
          <w:sz w:val="24"/>
          <w:rFonts w:ascii="Times New Roman" w:hAnsi="Times New Roman" w:cs="Times New Roman"/>
          <w:rFonts w:ascii="Times New Roman" w:hAnsi="Times New Roman" w:cs="Times New Roman" w:eastAsia="Times New Roman"/>
        </w:rPr>
        <w:t>Căn cứ Bộ Luật Dân sự số 91/2015/QH13 ngày 24 tháng 11 năm 2015 của Quốc hội nước Cộng hòa Xã hội Chủ nghĩa Việt Nam;</w:t>
      </w:r>
    </w:p>
    <w:p>
      <w:pPr>
        <w:jc w:val="both"/>
        <w:spacing w:before="20" w:after="40" w:line="276" w:lineRule="auto"/>
      </w:pPr>
      <w:r>
        <w:rPr>
          <w:rFonts w:ascii="Times New Roman" w:hAnsi="Times New Roman"/>
          <w:i/>
          <w:color w:val="000000"/>
          <w:sz w:val="24"/>
          <w:rFonts w:ascii="Times New Roman" w:hAnsi="Times New Roman" w:cs="Times New Roman"/>
          <w:rFonts w:ascii="Times New Roman" w:hAnsi="Times New Roman" w:cs="Times New Roman" w:eastAsia="Times New Roman"/>
        </w:rPr>
        <w:t>Căn cứ Luật Thương mại số 36/2005/QH11 ngày 14 tháng 06 năm 2005 của Quốc hội nước Cộng hòa Xã hội Chủ nghĩa Việt Nam;</w:t>
      </w:r>
    </w:p>
    <w:p>
      <w:pPr>
        <w:jc w:val="both"/>
        <w:spacing w:before="20" w:after="40" w:line="276" w:lineRule="auto"/>
      </w:pPr>
      <w:r>
        <w:rPr>
          <w:rFonts w:ascii="Times New Roman" w:hAnsi="Times New Roman"/>
          <w:i/>
          <w:color w:val="000000"/>
          <w:sz w:val="24"/>
          <w:rFonts w:ascii="Times New Roman" w:hAnsi="Times New Roman" w:cs="Times New Roman"/>
          <w:rFonts w:ascii="Times New Roman" w:hAnsi="Times New Roman" w:cs="Times New Roman" w:eastAsia="Times New Roman"/>
        </w:rPr>
        <w:t>Căn cứ Luật Công nghệ thông tin số 67/2006/QH11 ngày 29 tháng 06 năm 2006 của Quốc hội nước Cộng hòa Xã hội Chủ nghĩa Việt Nam;</w:t>
      </w:r>
    </w:p>
    <w:p>
      <w:pPr>
        <w:jc w:val="both"/>
        <w:spacing w:before="20" w:after="40" w:line="276" w:lineRule="auto"/>
      </w:pPr>
      <w:r>
        <w:rPr>
          <w:rFonts w:ascii="Times New Roman" w:hAnsi="Times New Roman"/>
          <w:i/>
          <w:color w:val="000000"/>
          <w:sz w:val="24"/>
          <w:rFonts w:ascii="Times New Roman" w:hAnsi="Times New Roman" w:cs="Times New Roman"/>
          <w:rFonts w:ascii="Times New Roman" w:hAnsi="Times New Roman" w:cs="Times New Roman" w:eastAsia="Times New Roman"/>
        </w:rPr>
        <w:t>Căn cứ Luật Đấu thầu số 22/2023/QH15 ngày 23 tháng 06 năm 2023 của Quốc hội nước Cộng hòa Xã hội Chủ nghĩa Việt Nam;</w:t>
      </w:r>
    </w:p>
    <w:p>
      <w:pPr>
        <w:jc w:val="both"/>
        <w:spacing w:before="20" w:after="40" w:line="276" w:lineRule="auto"/>
      </w:pPr>
      <w:r>
        <w:rPr>
          <w:rFonts w:ascii="Times New Roman" w:hAnsi="Times New Roman"/>
          <w:i/>
          <w:color w:val="000000"/>
          <w:sz w:val="24"/>
          <w:rFonts w:ascii="Times New Roman" w:hAnsi="Times New Roman" w:cs="Times New Roman"/>
          <w:rFonts w:ascii="Times New Roman" w:hAnsi="Times New Roman" w:cs="Times New Roman" w:eastAsia="Times New Roman"/>
        </w:rPr>
        <w:t>Căn cứ Nghị định số 214/2025/NĐ-CP của Chính phủ quy định chi tiết một số điều và biện pháp thi hành Luật Đấu thầu về lựa chọn nhà thầu;</w:t>
      </w:r>
    </w:p>
    <w:p>
      <w:pPr>
        <w:jc w:val="both"/>
        <w:spacing w:before="20" w:after="40" w:line="276" w:lineRule="auto"/>
      </w:pPr>
      <w:r>
        <w:rPr>
          <w:rFonts w:ascii="Times New Roman" w:hAnsi="Times New Roman"/>
          <w:i/>
          <w:color w:val="000000"/>
          <w:sz w:val="24"/>
          <w:rFonts w:ascii="Times New Roman" w:hAnsi="Times New Roman" w:cs="Times New Roman"/>
          <w:rFonts w:ascii="Times New Roman" w:hAnsi="Times New Roman" w:cs="Times New Roman" w:eastAsia="Times New Roman"/>
        </w:rPr>
        <w:t>Căn cứ Nghị định số 13/2023/NĐ-CP ngày 17 tháng 04 năm 2023 của Chính phủ về bảo vệ dữ liệu cá nhân;</w:t>
      </w:r>
    </w:p>
    <w:p>
      <w:pPr>
        <w:jc w:val="both"/>
        <w:spacing w:before="20" w:after="40" w:line="276" w:lineRule="auto"/>
      </w:pPr>
      <w:r>
        <w:rPr>
          <w:rFonts w:ascii="Times New Roman" w:hAnsi="Times New Roman"/>
          <w:i/>
          <w:color w:val="000000"/>
          <w:sz w:val="24"/>
          <w:rFonts w:ascii="Times New Roman" w:hAnsi="Times New Roman" w:cs="Times New Roman"/>
          <w:rFonts w:ascii="Times New Roman" w:hAnsi="Times New Roman" w:cs="Times New Roman" w:eastAsia="Times New Roman"/>
        </w:rPr>
        <w:t>Căn cứ hồ sơ mời thầu gói thầu dịch vụ phi tư vấn số ABC-WSS-PM_26I_09 do Công ty Cổ phần ABC Wear phát hành ngày 22 tháng 02 năm 2026;</w:t>
      </w:r>
    </w:p>
    <w:p>
      <w:pPr>
        <w:jc w:val="both"/>
        <w:spacing w:before="20" w:after="40" w:line="276" w:lineRule="auto"/>
      </w:pPr>
      <w:r>
        <w:rPr>
          <w:rFonts w:ascii="Times New Roman" w:hAnsi="Times New Roman"/>
          <w:i/>
          <w:color w:val="000000"/>
          <w:sz w:val="24"/>
          <w:rFonts w:ascii="Times New Roman" w:hAnsi="Times New Roman" w:cs="Times New Roman"/>
          <w:rFonts w:ascii="Times New Roman" w:hAnsi="Times New Roman" w:cs="Times New Roman" w:eastAsia="Times New Roman"/>
        </w:rPr>
        <w:t>Căn cứ hồ sơ dự thầu cùng các văn bản giải trình làm rõ của nhà thầu Nhóm 09 - 20261 nộp ngày 08 tháng 03 năm 2026;</w:t>
      </w:r>
    </w:p>
    <w:p>
      <w:pPr>
        <w:jc w:val="both"/>
        <w:spacing w:before="20" w:after="40" w:line="276" w:lineRule="auto"/>
      </w:pPr>
      <w:r>
        <w:rPr>
          <w:rFonts w:ascii="Times New Roman" w:hAnsi="Times New Roman"/>
          <w:i/>
          <w:color w:val="000000"/>
          <w:sz w:val="24"/>
          <w:rFonts w:ascii="Times New Roman" w:hAnsi="Times New Roman" w:cs="Times New Roman"/>
          <w:rFonts w:ascii="Times New Roman" w:hAnsi="Times New Roman" w:cs="Times New Roman" w:eastAsia="Times New Roman"/>
        </w:rPr>
        <w:t>Căn cứ quyết định phê duyệt kết quả lựa chọn nhà thầu số 26/2026/QĐ-ABCWEAR ngày 12 tháng 03 năm 2026 của Tổng Giám đốc Công ty Cổ phần ABC Wear.</w:t>
      </w:r>
    </w:p>
    <w:p>
      <w:pPr>
        <w:jc w:val="both"/>
        <w:spacing w:before="160" w:after="12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Hôm nay, ngày 16 tháng 03 năm 2026, tại trụ sở chính Công ty Cổ phần ABC Wear, số 1 Đại Cồ Việt, quận Hai Bà Trưng, thành phố Hà Nội, chúng tôi gồm có các bên tham gia ký kết hợp đồng dưới đây:</w:t>
      </w:r>
    </w:p>
    <w:p>
      <w:pPr>
        <w:jc w:val="left"/>
        <w:spacing w:before="12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BÊN GIAO THẦU — CHỦ ĐẦU TƯ: CÔNG TY CỔ PHẦN ABC WEAR</w:t>
      </w:r>
    </w:p>
    <w:p>
      <w:pPr>
        <w:jc w:val="left"/>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 Tên gọi tắt trong hợp đồng: Bên A</w:t>
      </w:r>
    </w:p>
    <w:p>
      <w:pPr>
        <w:jc w:val="left"/>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 Địa chỉ trụ sở chính: Số 1 Đại Cồ Việt, phường Bách Khoa, quận Hai Bà Trưng, thành phố Hà Nội</w:t>
      </w:r>
    </w:p>
    <w:p>
      <w:pPr>
        <w:jc w:val="left"/>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 Mã số thuế: 0101234567</w:t>
      </w:r>
    </w:p>
    <w:p>
      <w:pPr>
        <w:jc w:val="left"/>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 Đại diện pháp luật: Ông Nguyễn Văn A, chức vụ: Tổng Giám đốc</w:t>
      </w:r>
    </w:p>
    <w:p>
      <w:pPr>
        <w:jc w:val="left"/>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 Đầu mối quản lý thực hiện: Ông Yamada, chức vụ: Trưởng phòng Kế hoạch</w:t>
      </w:r>
    </w:p>
    <w:p>
      <w:pPr>
        <w:jc w:val="left"/>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 Thư điện tử liên hệ: yamada@abc.com</w:t>
      </w:r>
    </w:p>
    <w:p>
      <w:pPr>
        <w:jc w:val="left"/>
        <w:spacing w:before="12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BÊN NHẬN THẦU — NHÀ THẦU: NHÀ THẦU NHÓM 09 - 20261</w:t>
      </w:r>
    </w:p>
    <w:p>
      <w:pPr>
        <w:jc w:val="left"/>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 Tên gọi tắt trong hợp đồng: Bên B</w:t>
      </w:r>
    </w:p>
    <w:p>
      <w:pPr>
        <w:jc w:val="left"/>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 Địa chỉ văn phòng: Khuôn viên Đại học Bách khoa Hà Nội, số 1 Đại Cồ Việt, quận Hai Bà Trưng, thành phố Hà Nội</w:t>
      </w:r>
    </w:p>
    <w:p>
      <w:pPr>
        <w:jc w:val="left"/>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 Mã số thuế: 0102609009</w:t>
      </w:r>
    </w:p>
    <w:p>
      <w:pPr>
        <w:jc w:val="left"/>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 Đại diện pháp luật: Đại diện được ủy quyền của nhà thầu</w:t>
      </w:r>
    </w:p>
    <w:p>
      <w:pPr>
        <w:jc w:val="left"/>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 Đầu mối quản trị dự án: Giám đốc dự án nhà thầu</w:t>
      </w:r>
    </w:p>
    <w:p>
      <w:pPr>
        <w:jc w:val="left"/>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 Tài khoản thanh toán: Số tài khoản 1234567890 mở tại Ngân hàng TMCP Đầu tư và Phát triển Việt Nam BIDV Chi nhánh Hà Thành</w:t>
      </w:r>
    </w:p>
    <w:p>
      <w:pPr>
        <w:jc w:val="both"/>
        <w:spacing w:before="120" w:after="12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Hai bên cùng thống nhất ký kết hợp đồng cung cấp dịch vụ phi tư vấn về việc phát triển hệ thống kênh bán hàng qua Internet với các điều khoản và điều kiện được xác lập chi tiết như sau:</w:t>
      </w:r>
    </w:p>
    <w:p>
      <w:pPr>
        <w:jc w:val="left"/>
        <w:spacing w:before="16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Điều 1. Đối tượng hợp đồng và ranh giới phạm vi thực hiện</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1. Bên A giao cho Bên B và Bên B cam kết thực hiện trọn gói dịch vụ phát triển hệ thống Web Site Selling System từ khâu phân tích hệ thống đến kiểm thử vận hành, bao gồm toàn bộ các hạng mục khảo sát, thiết kế kiến trúc, xây dựng cơ sở dữ liệu bán hàng Selling DB độc lập, phát triển phần mềm, tích hợp hệ thống, kiểm thử chất lượng, triển khai vận hành và chuyển giao quyền sử dụng cho Bên A theo đúng các tiêu chuẩn được quy định trong hợp đồng này.</w:t>
      </w:r>
    </w:p>
    <w:p>
      <w:pPr>
        <w:jc w:val="both"/>
        <w:spacing w:before="20" w:after="40" w:line="276" w:lineRule="auto"/>
      </w:pPr>
      <w:r>
        <w:rPr>
          <w:rFonts w:ascii="Times New Roman" w:hAnsi="Times New Roman"/>
          <w:b/>
          <w:i w:val="0"/>
          <w:color w:val="000000"/>
          <w:sz w:val="24"/>
          <w:rFonts w:ascii="Times New Roman" w:hAnsi="Times New Roman" w:cs="Times New Roman"/>
          <w:rFonts w:ascii="Times New Roman" w:hAnsi="Times New Roman" w:cs="Times New Roman" w:eastAsia="Times New Roman"/>
        </w:rPr>
        <w:t>2. Phạm vi công việc trong hợp đồng bao gồm các phân hệ chức năng và hoạt động kỹ thuật bắt buộc sau đây:</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a. Khảo sát hiện trạng chuỗi 25 cửa hàng và hệ thống máy chủ trung tâm; xác lập tài liệu phân tích nghiệp vụ và danh mục yêu cầu hệ thống chi tiết.</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b. Thiết kế kiến trúc giải pháp bảo đảm năng lực sẵn sàng cao, thiết kế cấu trúc cơ sở dữ liệu Selling DB độc lập, thiết kế luồng vận hành mới và thiết kế sơ đồ phân tầng Menu Layer tối ưu trải nghiệm khách hàng.</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c. Lập trình phát triển hệ thống Web Site Selling System bao gồm đầy đủ 04 phân hệ chức năng: Phân hệ quản lý sản phẩm và tìm kiếm nâng cao; phân hệ quản trị thành viên và tài khoản khách hàng; phân hệ giỏ hàng và quy trình đặt hàng thanh toán trực tuyến; phân hệ đồng bộ và kết nối dữ liệu trung tâm.</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d. Xây dựng cổng API Gateway tích hợp hai chiều thông suốt với hệ thống Main System của Bên A thông qua giao thức RESTful API bảo mật gồm 05 luồng dữ liệu chuẩn: Luồng đồng bộ danh mục sản phẩm và bảng giá bán lẻ; luồng đồng bộ biến động số lượng tồn kho định kỳ; luồng chuyển tiếp đơn đặt hàng trực tuyến sang hệ thống điều vận; luồng tiếp nhận trạng thái đóng gói và hành trình vận chuyển; luồng đồng bộ dữ liệu tài khoản khách hàng thân thiết.</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đ. Thực hiện kiểm thử toàn diện bao gồm kiểm thử đơn vị, kiểm thử tích hợp hệ thống, kiểm thử chấp nhận người dùng và kiểm thử hiệu năng chịu tải tối thiểu 5.000 người dùng truy cập đồng thời.</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e. Chuyển đổi dữ liệu danh mục hàng hóa ban đầu, đào tạo chuyển giao quản trị, đóng gói sản phẩm bàn giao, trực hỗ trợ kỹ thuật chuyên sâu trong giai đoạn Hypercare và thực hiện nghĩa vụ bảo hành 12 tháng liên tục.</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3. Ranh giới phạm vi ngoài hợp đồng: Hai bên khẳng định và thống nhất rằng toàn bộ các chức năng quản trị nghiệp vụ nội bộ của Bên A nằm ngoài phạm vi thực hiện của hợp đồng này. Bên B tuyệt đối không can thiệp, không chịu trách nhiệm xây dựng hoặc chỉnh sửa các hạng mục thuộc phạm vi loại trừ sau:</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a. Nghiệp vụ bán hàng tại quầy và phần mềm bán lẻ POS tại chuỗi 25 cửa hàng hiện hữu của Bên A.</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b. Hạ tầng máy chủ và đường truyền vật lý cho môi trường vận hành thực tế Production của Bên A.</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c. Toàn bộ các mô-đun quản trị nghiệp vụ nội bộ của hệ thống Main System bao gồm: Quản trị kho bãi tổng thể và logistics chuỗi cung ứng; quản trị tài chính kế toán nội bộ và hạch toán thuế; điều hành vận tải và giao nhận chặng cuối; quản trị mua sắm và chuỗi cung ứng nguyên phụ liệu; công tác hành chính và nhân sự nội bộ của Bên A.</w:t>
      </w:r>
    </w:p>
    <w:p>
      <w:pPr>
        <w:jc w:val="both"/>
        <w:spacing w:before="20" w:after="40" w:line="276" w:lineRule="auto"/>
      </w:pPr>
      <w:r>
        <w:rPr>
          <w:rFonts w:ascii="Times New Roman" w:hAnsi="Times New Roman"/>
          <w:b/>
          <w:i w:val="0"/>
          <w:color w:val="000000"/>
          <w:sz w:val="24"/>
          <w:rFonts w:ascii="Times New Roman" w:hAnsi="Times New Roman" w:cs="Times New Roman"/>
          <w:rFonts w:ascii="Times New Roman" w:hAnsi="Times New Roman" w:cs="Times New Roman" w:eastAsia="Times New Roman"/>
        </w:rPr>
        <w:t>4. Trách nhiệm phối hợp đồng hành của Bên A đối với Bên B:</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a. Bên A cử đầu mối Product Owner có thẩm quyền quyết định nghiệp vụ tham gia đầy đủ các buổi họp nghiệm thu Sprint định kỳ 2 tuần để trực tiếp kiểm tra và nghiệm thu tính năng chạy thực tế trên hệ thống.</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b. Bên A cung cấp đầy đủ tài liệu đặc tả giao diện kết nối và mở môi trường thử nghiệm kết nối hệ thống Main System trước ngày 23 tháng 03 năm 2026 để Bên B triển khai tích hợp dữ liệu kịp tiến độ.</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c. Bên A có trách nhiệm thẩm định và phê duyệt các tài liệu thiết kế kiến trúc, cơ sở dữ liệu và giao diện trong thời hạn không quá 05 ngày làm việc kể từ ngày nhận bàn giao từ Bên B. Quá thời hạn này mà Bên A chưa có ý kiến phản hồi bằng văn bản, Bên B có quyền gửi văn bản thông báo nhắc nhở; nếu sau 03 ngày làm việc tiếp theo kể từ ngày gửi văn bản nhắc nhở mà Bên A vẫn không có ý kiến phản hồi thì tài liệu được coi là đã được Bên A chấp thuận nghiệm thu để chuyển sang bước triển khai tiếp theo.</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d. Bên A bàn giao môi trường máy chủ và đường truyền Production sẵn sàng trước ngày 25 tháng 06 năm 2026 để hai bên phối hợp diễn tập chuyển đổi Cut-over và bảo đảm hệ thống vận hành chính thức đúng ngày 01 tháng 07 năm 2026.</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đ. Trường hợp Bên A chậm bàn giao tài liệu kết nối API, chậm cung cấp môi trường thử nghiệm hệ thống Main System, chậm phê duyệt các hồ sơ mốc hoặc chậm bàn giao môi trường máy chủ Production so với các mốc đã cam kết tại khoản này, các mốc tiến độ trung gian tương ứng và mốc Cut-over ngày 01 tháng 07 năm 2026 sẽ được gia hạn thêm một khoảng thời gian tương ứng với số ngày Bên A chậm trễ, nhưng tổng thời gian gia hạn cho mốc vận hành chính thức không vượt quá 03 tuần tính từ ngày 01 tháng 07 năm 2026, tức chậm nhất trước ngày 22 tháng 07 năm 2026; trong thời gian gia hạn hợp pháp này, Bên B không bị coi là vi phạm tiến độ và không phải chịu bất kỳ khoản phạt nào.</w:t>
      </w:r>
    </w:p>
    <w:p>
      <w:pPr>
        <w:jc w:val="left"/>
        <w:spacing w:before="16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Điều 2. Hồ sơ hợp đồng và thứ tự ưu tiên pháp lý</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1. Hồ sơ hợp đồng là bộ phận cấu thành hữu cơ và không thể tách rời của bản hợp đồng này.</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2. Khi phát sinh mâu thuẫn hoặc sai lệch về nội dung giữa các tài liệu trong hồ sơ hợp đồng, thứ tự ưu tiên pháp lý để giải quyết được xác định từ cao xuống thấp như sau:</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a. Tài liệu RFP của Bên A phát hành ngày 22 tháng 02 năm 2026 là nguồn chân lý duy nhất và cao nhất có mức độ ưu tiên tuyệt đối;</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b. Bản hợp đồng này cùng các phụ lục hợp đồng kèm theo;</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c. Biên bản thương thảo, hoàn thiện hợp đồng giữa hai bên;</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d. Quyết định phê duyệt kết quả lựa chọn nhà thầu;</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đ. Hồ sơ mời thầu cùng các văn bản sửa đổi, bổ sung, giải thích hồ sơ mời thầu;</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e. Hồ sơ dự thầu cùng các văn bản giải trình, làm rõ hồ sơ dự thầu của Bên B.</w:t>
      </w:r>
    </w:p>
    <w:p>
      <w:pPr>
        <w:jc w:val="left"/>
        <w:spacing w:before="16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Điều 3. Tiêu chuẩn kỹ thuật và các chính sách cốt lõi bắt buộc</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1. Chính sách thao tác dễ dàng đối với khách hàng: Giao diện trực quan, thân thiện, tương thích hoàn hảo trên máy tính để bàn, máy tính bảng và điện thoại thông minh. Luồng mua sắm từ khi chọn sản phẩm đến khi thanh toán thành công tối giản không quá 03 bước chính. Quy trình đăng ký tài khoản thành viên tối giản không quá 03 bước.</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2. Chính sách sẵn sàng vận hành liên tục 24/7/365: Hệ thống Web Site Selling System phải vận hành thông suốt 24 giờ mỗi ngày và 365 ngày mỗi năm. Tỷ lệ sẵn sàng phục vụ Uptime của hệ thống đạt tối thiểu 99,9% thời gian trong mỗi chu kỳ vận hành. Lịch bảo trì hệ thống định kỳ nếu có bắt buộc phải thông báo trước bằng văn bản cho Bên A tối thiểu 03 ngày làm việc và chỉ được thực hiện trong khung giờ thấp điểm từ 01 giờ 00 đến 04 giờ 00 sáng. Hệ thống bảo đảm chỉ số thời gian phục hồi mục tiêu RTO dưới 2 giờ và chỉ số điểm phục hồi mục tiêu RPO dưới 15 phút.</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3. Chính sách tốc độ phản hồi nhanh chóng: Thời gian phản hồi cho các giao dịch chính gồm tìm kiếm sản phẩm, xem chi tiết, thêm giỏ hàng và chuyển bước thanh toán đạt chỉ số P95 trong vòng không quá 2 giây trong điều kiện tải bình thường và giờ cao điểm. Hệ thống bảo đảm năng lực chịu tải đồng thời tối thiểu 5.000 người dùng truy cập cùng lúc, với điều kiện môi trường máy chủ và băng thông đường truyền do Bên A cung cấp đáp ứng đúng cấu hình kỹ thuật khuyến nghị tối thiểu của Bên B tại phụ lục kỹ thuật của hợp đồng này.</w:t>
      </w:r>
    </w:p>
    <w:p>
      <w:pPr>
        <w:jc w:val="left"/>
        <w:spacing w:before="16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Điều 4. Thời gian thực hiện và các mốc tiến độ chính</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1. Thời gian thực hiện hợp đồng tính từ ngày 16 tháng 03 năm 2026 đến ngày các bên hoàn thành toàn bộ nghĩa vụ theo hợp đồng và kết thúc thời hạn bảo hành 12 tháng.</w:t>
      </w:r>
    </w:p>
    <w:p>
      <w:pPr>
        <w:jc w:val="both"/>
        <w:spacing w:before="20" w:after="40" w:line="276" w:lineRule="auto"/>
      </w:pPr>
      <w:r>
        <w:rPr>
          <w:rFonts w:ascii="Times New Roman" w:hAnsi="Times New Roman"/>
          <w:b/>
          <w:i w:val="0"/>
          <w:color w:val="000000"/>
          <w:sz w:val="24"/>
          <w:rFonts w:ascii="Times New Roman" w:hAnsi="Times New Roman" w:cs="Times New Roman"/>
          <w:rFonts w:ascii="Times New Roman" w:hAnsi="Times New Roman" w:cs="Times New Roman" w:eastAsia="Times New Roman"/>
        </w:rPr>
        <w:t>2. Tiến độ triển khai các mốc công việc chính được xác lập theo phương pháp Agile Scrum gồm 8 Sprint:</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a. Ngày 16 tháng 03 năm 2026: Khởi động dự án và thiết lập môi trường kỹ thuật.</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b. Ngày 10 tháng 04 năm 2026: Hoàn thành Sprint 2, phê duyệt đặc tả yêu cầu phần mềm SRS và bàn giao sản phẩm tăng trưởng phân hệ quản trị thành viên.</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c. Ngày 24 tháng 04 năm 2026: Hoàn thành Sprint 3, bàn giao thiết kế cơ sở dữ liệu Selling DB, thiết kế Menu Layer và sản phẩm tăng trưởng phân hệ quản lý sản phẩm.</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d. Ngày 22 tháng 05 năm 2026: Hoàn thành Sprint 5, bàn giao sản phẩm tăng trưởng phân hệ giỏ hàng và đặt hàng trực tuyến.</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đ. Ngày 05 tháng 06 năm 2026: Hoàn thành Sprint 6, kết nối thông suốt 05 luồng dữ liệu với hệ thống Main System và hoàn tất tích hợp cổng thanh toán.</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e. Ngày 19 tháng 06 năm 2026: Hoàn thành Sprint 7, hoàn thành toàn diện kiểm thử tích hợp hệ thống SIT và kiểm thử hiệu năng chịu tải P95 dưới 2 giây với 5.000 người dùng đồng thời.</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g. Ngày 30 tháng 06 năm 2026: Hoàn thành Sprint 8, hoàn tất kiểm thử chấp nhận UAT, chuyển đổi dữ liệu và đào tạo chuyển giao quản trị cho Bên A.</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h. Ngày 01 tháng 07 năm 2026: Mốc vận hành chính thức Cut-over và đưa toàn bộ hệ thống vào khai thác kinh doanh thực tế. Trường hợp phát sinh gia hạn tiến độ hợp pháp do chậm trễ từ phía Bên A theo quy định tại điểm đ khoản 4 Điều 1 của hợp đồng này, mốc vận hành chính thức được phép lùi lại theo thực tế nhưng tuyệt đối không vượt quá 03 tuần, tức thời hạn chốt chặn cuối cùng là ngày 22 tháng 07 năm 2026.</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i. Từ ngày 01 tháng 07 năm 2026 đến ngày 01 tháng 08 năm 2026: Giai đoạn trực hỗ trợ vận hành tăng cường Hypercare. Trường hợp mốc vận hành chính thức lùi lại hợp pháp, thời gian Hypercare kéo dài 01 tháng liên tục tính từ ngày vận hành chính thức thực tế.</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k. Thời hạn bảo hành kỹ thuật 12 tháng liên tục tính từ ngày hệ thống được nghiệm thu vận hành chính thức.</w:t>
      </w:r>
    </w:p>
    <w:p>
      <w:pPr>
        <w:jc w:val="left"/>
        <w:spacing w:before="16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Điều 5. Giá trị hợp đồng và cơ chế điều chỉnh giá</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1. Giá trị hợp đồng là 1.200.000.000 VNĐ, bằng chữ là Một tỷ hai trăm triệu đồng chẵn.</w:t>
      </w:r>
    </w:p>
    <w:p>
      <w:pPr>
        <w:jc w:val="both"/>
        <w:spacing w:before="20" w:after="40" w:line="276" w:lineRule="auto"/>
      </w:pPr>
      <w:r>
        <w:rPr>
          <w:rFonts w:ascii="Times New Roman" w:hAnsi="Times New Roman"/>
          <w:b/>
          <w:i w:val="0"/>
          <w:color w:val="000000"/>
          <w:sz w:val="24"/>
          <w:rFonts w:ascii="Times New Roman" w:hAnsi="Times New Roman" w:cs="Times New Roman"/>
          <w:rFonts w:ascii="Times New Roman" w:hAnsi="Times New Roman" w:cs="Times New Roman" w:eastAsia="Times New Roman"/>
        </w:rPr>
        <w:t>2. Bảng tổng hợp chi phí cấu thành giá hợp đồng: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2"/>
        <w:gridCol w:w="4702"/>
      </w:tblGrid>
      <w:tr>
        <w:tc>
          <w:tcPr>
            <w:tcW w:type="dxa" w:w="4702"/>
            <w:tcMar>
              <w:top w:w="100" w:type="dxa"/>
              <w:bottom w:w="100" w:type="dxa"/>
              <w:left w:w="150" w:type="dxa"/>
              <w:right w:w="150" w:type="dxa"/>
            </w:tcMar>
            <w:shd w:val="clear" w:color="auto" w:fill="FFFFFF"/>
          </w:tcPr>
          <w:p>
            <w:pPr>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4"/>
                <w:rFonts w:ascii="Times New Roman" w:hAnsi="Times New Roman" w:cs="Times New Roman"/>
                <w:rFonts w:ascii="Times New Roman" w:hAnsi="Times New Roman" w:cs="Times New Roman" w:eastAsia="Times New Roman"/>
              </w:rPr>
              <w:t>Hạng mục công việc</w:t>
            </w:r>
          </w:p>
        </w:tc>
        <w:tc>
          <w:tcPr>
            <w:tcW w:type="dxa" w:w="4702"/>
            <w:tcMar>
              <w:top w:w="100" w:type="dxa"/>
              <w:bottom w:w="100" w:type="dxa"/>
              <w:left w:w="150" w:type="dxa"/>
              <w:right w:w="150" w:type="dxa"/>
            </w:tcMar>
            <w:shd w:val="clear" w:color="auto" w:fill="FFFFFF"/>
          </w:tcPr>
          <w:p>
            <w:pPr>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4"/>
                <w:rFonts w:ascii="Times New Roman" w:hAnsi="Times New Roman" w:cs="Times New Roman"/>
                <w:rFonts w:ascii="Times New Roman" w:hAnsi="Times New Roman" w:cs="Times New Roman" w:eastAsia="Times New Roman"/>
              </w:rPr>
              <w:t>Thành tiền</w:t>
            </w:r>
          </w:p>
        </w:tc>
      </w:tr>
      <w:tr>
        <w:tc>
          <w:tcPr>
            <w:tcW w:type="dxa" w:w="4702"/>
            <w:tcMar>
              <w:top w:w="100" w:type="dxa"/>
              <w:bottom w:w="100" w:type="dxa"/>
              <w:left w:w="150" w:type="dxa"/>
              <w:right w:w="150" w:type="dxa"/>
            </w:tcMar>
            <w:shd w:val="clear" w:color="auto" w:fill="FFFFFF"/>
          </w:tcPr>
          <w:p>
            <w:pPr>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4"/>
                <w:rFonts w:ascii="Times New Roman" w:hAnsi="Times New Roman" w:cs="Times New Roman"/>
                <w:rFonts w:ascii="Times New Roman" w:hAnsi="Times New Roman" w:cs="Times New Roman" w:eastAsia="Times New Roman"/>
              </w:rPr>
              <w:t>Chi phí kỹ thuật phát triển hệ thống trực tiếp</w:t>
            </w:r>
          </w:p>
        </w:tc>
        <w:tc>
          <w:tcPr>
            <w:tcW w:type="dxa" w:w="4702"/>
            <w:tcMar>
              <w:top w:w="100" w:type="dxa"/>
              <w:bottom w:w="100" w:type="dxa"/>
              <w:left w:w="150" w:type="dxa"/>
              <w:right w:w="150" w:type="dxa"/>
            </w:tcMar>
            <w:shd w:val="clear" w:color="auto" w:fill="FFFFFF"/>
          </w:tcPr>
          <w:p>
            <w:pPr>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4"/>
                <w:rFonts w:ascii="Times New Roman" w:hAnsi="Times New Roman" w:cs="Times New Roman"/>
                <w:rFonts w:ascii="Times New Roman" w:hAnsi="Times New Roman" w:cs="Times New Roman" w:eastAsia="Times New Roman"/>
              </w:rPr>
              <w:t>854.100.000 VNĐ</w:t>
            </w:r>
          </w:p>
        </w:tc>
      </w:tr>
      <w:tr>
        <w:tc>
          <w:tcPr>
            <w:tcW w:type="dxa" w:w="4702"/>
            <w:tcMar>
              <w:top w:w="100" w:type="dxa"/>
              <w:bottom w:w="100" w:type="dxa"/>
              <w:left w:w="150" w:type="dxa"/>
              <w:right w:w="150" w:type="dxa"/>
            </w:tcMar>
            <w:shd w:val="clear" w:color="auto" w:fill="FFFFFF"/>
          </w:tcPr>
          <w:p>
            <w:pPr>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4"/>
                <w:rFonts w:ascii="Times New Roman" w:hAnsi="Times New Roman" w:cs="Times New Roman"/>
                <w:rFonts w:ascii="Times New Roman" w:hAnsi="Times New Roman" w:cs="Times New Roman" w:eastAsia="Times New Roman"/>
              </w:rPr>
              <w:t>Kinh phí quỹ dự phòng rủi ro kỹ thuật và quản lý thay đổi</w:t>
            </w:r>
          </w:p>
        </w:tc>
        <w:tc>
          <w:tcPr>
            <w:tcW w:type="dxa" w:w="4702"/>
            <w:tcMar>
              <w:top w:w="100" w:type="dxa"/>
              <w:bottom w:w="100" w:type="dxa"/>
              <w:left w:w="150" w:type="dxa"/>
              <w:right w:w="150" w:type="dxa"/>
            </w:tcMar>
            <w:shd w:val="clear" w:color="auto" w:fill="FFFFFF"/>
          </w:tcPr>
          <w:p>
            <w:pPr>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4"/>
                <w:rFonts w:ascii="Times New Roman" w:hAnsi="Times New Roman" w:cs="Times New Roman"/>
                <w:rFonts w:ascii="Times New Roman" w:hAnsi="Times New Roman" w:cs="Times New Roman" w:eastAsia="Times New Roman"/>
              </w:rPr>
              <w:t>236.809.091 VNĐ</w:t>
            </w:r>
          </w:p>
        </w:tc>
      </w:tr>
      <w:tr>
        <w:tc>
          <w:tcPr>
            <w:tcW w:type="dxa" w:w="4702"/>
            <w:tcMar>
              <w:top w:w="100" w:type="dxa"/>
              <w:bottom w:w="100" w:type="dxa"/>
              <w:left w:w="150" w:type="dxa"/>
              <w:right w:w="150" w:type="dxa"/>
            </w:tcMar>
            <w:shd w:val="clear" w:color="auto" w:fill="FFFFFF"/>
          </w:tcPr>
          <w:p>
            <w:pPr>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4"/>
                <w:rFonts w:ascii="Times New Roman" w:hAnsi="Times New Roman" w:cs="Times New Roman"/>
                <w:rFonts w:ascii="Times New Roman" w:hAnsi="Times New Roman" w:cs="Times New Roman" w:eastAsia="Times New Roman"/>
              </w:rPr>
              <w:t>Tổng giá trị dịch vụ trước thuế</w:t>
            </w:r>
          </w:p>
        </w:tc>
        <w:tc>
          <w:tcPr>
            <w:tcW w:type="dxa" w:w="4702"/>
            <w:tcMar>
              <w:top w:w="100" w:type="dxa"/>
              <w:bottom w:w="100" w:type="dxa"/>
              <w:left w:w="150" w:type="dxa"/>
              <w:right w:w="150" w:type="dxa"/>
            </w:tcMar>
            <w:shd w:val="clear" w:color="auto" w:fill="FFFFFF"/>
          </w:tcPr>
          <w:p>
            <w:pPr>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4"/>
                <w:rFonts w:ascii="Times New Roman" w:hAnsi="Times New Roman" w:cs="Times New Roman"/>
                <w:rFonts w:ascii="Times New Roman" w:hAnsi="Times New Roman" w:cs="Times New Roman" w:eastAsia="Times New Roman"/>
              </w:rPr>
              <w:t>1.090.909.091 VNĐ</w:t>
            </w:r>
          </w:p>
        </w:tc>
      </w:tr>
      <w:tr>
        <w:tc>
          <w:tcPr>
            <w:tcW w:type="dxa" w:w="4702"/>
            <w:tcMar>
              <w:top w:w="100" w:type="dxa"/>
              <w:bottom w:w="100" w:type="dxa"/>
              <w:left w:w="150" w:type="dxa"/>
              <w:right w:w="150" w:type="dxa"/>
            </w:tcMar>
            <w:shd w:val="clear" w:color="auto" w:fill="FFFFFF"/>
          </w:tcPr>
          <w:p>
            <w:pPr>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4"/>
                <w:rFonts w:ascii="Times New Roman" w:hAnsi="Times New Roman" w:cs="Times New Roman"/>
                <w:rFonts w:ascii="Times New Roman" w:hAnsi="Times New Roman" w:cs="Times New Roman" w:eastAsia="Times New Roman"/>
              </w:rPr>
              <w:t>Thuế giá trị gia tăng 10%</w:t>
            </w:r>
          </w:p>
        </w:tc>
        <w:tc>
          <w:tcPr>
            <w:tcW w:type="dxa" w:w="4702"/>
            <w:tcMar>
              <w:top w:w="100" w:type="dxa"/>
              <w:bottom w:w="100" w:type="dxa"/>
              <w:left w:w="150" w:type="dxa"/>
              <w:right w:w="150" w:type="dxa"/>
            </w:tcMar>
            <w:shd w:val="clear" w:color="auto" w:fill="FFFFFF"/>
          </w:tcPr>
          <w:p>
            <w:pPr>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4"/>
                <w:rFonts w:ascii="Times New Roman" w:hAnsi="Times New Roman" w:cs="Times New Roman"/>
                <w:rFonts w:ascii="Times New Roman" w:hAnsi="Times New Roman" w:cs="Times New Roman" w:eastAsia="Times New Roman"/>
              </w:rPr>
              <w:t>109.090.909 VNĐ</w:t>
            </w:r>
          </w:p>
        </w:tc>
      </w:tr>
      <w:tr>
        <w:tc>
          <w:tcPr>
            <w:tcW w:type="dxa" w:w="4702"/>
            <w:tcMar>
              <w:top w:w="100" w:type="dxa"/>
              <w:bottom w:w="100" w:type="dxa"/>
              <w:left w:w="150" w:type="dxa"/>
              <w:right w:w="150" w:type="dxa"/>
            </w:tcMar>
            <w:shd w:val="clear" w:color="auto" w:fill="FFFFFF"/>
          </w:tcPr>
          <w:p>
            <w:pPr>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4"/>
                <w:rFonts w:ascii="Times New Roman" w:hAnsi="Times New Roman" w:cs="Times New Roman"/>
                <w:rFonts w:ascii="Times New Roman" w:hAnsi="Times New Roman" w:cs="Times New Roman" w:eastAsia="Times New Roman"/>
              </w:rPr>
              <w:t>Tổng giá trị trọn gói sau thuế</w:t>
            </w:r>
          </w:p>
        </w:tc>
        <w:tc>
          <w:tcPr>
            <w:tcW w:type="dxa" w:w="4702"/>
            <w:tcMar>
              <w:top w:w="100" w:type="dxa"/>
              <w:bottom w:w="100" w:type="dxa"/>
              <w:left w:w="150" w:type="dxa"/>
              <w:right w:w="150" w:type="dxa"/>
            </w:tcMar>
            <w:shd w:val="clear" w:color="auto" w:fill="FFFFFF"/>
          </w:tcPr>
          <w:p>
            <w:pPr>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4"/>
                <w:rFonts w:ascii="Times New Roman" w:hAnsi="Times New Roman" w:cs="Times New Roman"/>
                <w:rFonts w:ascii="Times New Roman" w:hAnsi="Times New Roman" w:cs="Times New Roman" w:eastAsia="Times New Roman"/>
              </w:rPr>
              <w:t>1.200.000.000 VNĐ</w:t>
            </w:r>
          </w:p>
        </w:tc>
      </w:tr>
    </w:tbl>
    <w:p>
      <w:pPr>
        <w:jc w:val="left"/>
        <w:spacing w:before="16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Điều 6. Tạm ứng, tiến độ thanh toán và thủ tục nghiệm thu</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1. Tạm ứng hợp đồng: Bên A thực hiện tạm ứng cho Bên B số tiền tương ứng 20% giá trị hợp đồng, tương đương 240.000.000 VNĐ trong vòng 10 ngày làm việc kể từ ngày hợp đồng có hiệu lực và Bên A nhận được thư bảo lãnh tiền tạm ứng hợp lệ từ ngân hàng thương mại hoạt động hợp pháp tại Việt Nam.</w:t>
      </w:r>
    </w:p>
    <w:p>
      <w:pPr>
        <w:jc w:val="both"/>
        <w:spacing w:before="20" w:after="40" w:line="276" w:lineRule="auto"/>
      </w:pPr>
      <w:r>
        <w:rPr>
          <w:rFonts w:ascii="Times New Roman" w:hAnsi="Times New Roman"/>
          <w:b/>
          <w:i w:val="0"/>
          <w:color w:val="000000"/>
          <w:sz w:val="24"/>
          <w:rFonts w:ascii="Times New Roman" w:hAnsi="Times New Roman" w:cs="Times New Roman"/>
          <w:rFonts w:ascii="Times New Roman" w:hAnsi="Times New Roman" w:cs="Times New Roman" w:eastAsia="Times New Roman"/>
        </w:rPr>
        <w:t>2. Tiến độ thanh toán được thực hiện theo 05 đợt gắn chặt với kết quả nghiệm thu từng mốc bàn giao:</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a. Đợt 1 — Sau khi nghiệm thu đóng băng yêu cầu và thiết kế chi tiết: Thanh toán 20% giá trị hợp đồng, tương đương 240.000.000 VNĐ; đồng thời khấu trừ 50% tiền tạm ứng tương đương 120.000.000 VNĐ; số tiền thực chuyển là 120.000.000 VNĐ trong thời hạn không quá 10 ngày làm việc sau khi hai bên ký biên bản nghiệm thu tài liệu đặc tả hệ thống, cấu trúc Selling DB và sơ đồ Menu Layer kèm hồ sơ đề nghị thanh toán hợp lệ.</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b. Đợt 2 — Sau khi hoàn thành tích hợp Main System và kiểm thử SIT: Thanh toán 25% giá trị hợp đồng, tương đương 300.000.000 VNĐ; đồng thời khấu trừ 50% tiền tạm ứng còn lại tương đương 120.000.000 VNĐ; số tiền thực chuyển là 180.000.000 VNĐ trong thời hạn không quá 10 ngày làm việc sau khi có biên bản nghiệm thu kết nối 5 luồng thông suốt và kết quả đo kiểm hiệu năng P95 dưới 2 giây kèm hồ sơ đề nghị thanh toán hợp lệ.</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c. Đợt 3 — Sau khi hoàn tất nghiệm thu UAT và đưa hệ thống vào vận hành chính thức Go-live: Thanh toán 25% giá trị hợp đồng, tương đương 300.000.000 VNĐ trong thời hạn không quá 10 ngày làm việc sau khi hệ thống vận hành ổn định trên môi trường Production và hoàn tất đào tạo chuyển giao kèm hồ sơ đề nghị thanh toán hợp lệ.</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d. Đợt 4 — Kết thúc giai đoạn Hypercare và ký biên bản bàn giao tổng thể: Thanh toán 10% giá trị hợp đồng, tương đương 120.000.000 VNĐ trong thời hạn không quá 10 ngày làm việc sau khi kết thúc 01 tháng vận hành tăng cường không phát sinh lỗi nghiêm trọng kèm hồ sơ đề nghị thanh toán hợp lệ.</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đ. Đợt 5 — Thanh toán phần giá trị bảo hành: Số tiền 10% giá trị hợp đồng còn lại, tương đương 120.000.000 VNĐ sẽ được Bên A giữ lại và thanh toán cho Bên B trong thời hạn không quá 10 ngày làm việc sau khi kết thúc thời hạn bảo hành 12 tháng. Trường hợp Bên B nộp thư bảo lãnh bảo hành của ngân hàng trị giá 120.000.000 VNĐ có hiệu lực đủ 12 tháng bảo hành, Bên A sẽ giải ngân khoản tiền này trong vòng 10 ngày làm việc ngay sau khi ký biên bản bàn giao đưa vào sử dụng.</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3. Hồ sơ đề nghị thanh toán gồm: Biên bản nghiệm thu sản phẩm của đợt thanh toán có đầy đủ chữ ký của hai bên; công văn đề nghị thanh toán của Bên B; bảng đối soát xác nhận không vi phạm chỉ số chất lượng dịch vụ; hóa đơn giá trị gia tăng hợp pháp theo quy định.</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4. Trách nhiệm thanh toán đúng hạn của Bên A: Bên A có trách nhiệm thanh toán đúng thời hạn cho Bên B đối với từng đợt giải ngân. Trường hợp Bên A chậm thanh toán quá 10 ngày làm việc kể từ ngày đến hạn thanh toán mà không có lý do chính đáng được hai bên thống nhất, đồng thời hồ sơ đề nghị thanh toán của Bên B đã hoàn toàn đầy đủ và hợp lệ, Bên A phải trả thêm cho Bên B tiền lãi chậm trả đối với số tiền chậm thanh toán theo mức lãi suất nợ quá hạn do Ngân hàng BIDV công bố tại thời điểm thanh toán tương ứng với số ngày chậm trả.</w:t>
      </w:r>
    </w:p>
    <w:p>
      <w:pPr>
        <w:jc w:val="left"/>
        <w:spacing w:before="16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Điều 7. Bảo đảm thực hiện hợp đồng</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1. Trong vòng 10 ngày làm việc kể từ ngày ký hợp đồng và trước khi hợp đồng có hiệu lực, Bên B nộp cho Bên A thư bảo lãnh thực hiện hợp đồng do Ngân hàng TMCP Đầu tư và Phát triển Việt Nam BIDV Chi nhánh Hà Thành phát hành với giá trị là 30.000.000 VNĐ, bằng chữ là Ba mươi triệu đồng chẵn. Giá trị này kế thừa và bảo toàn nguyên vẹn hạn mức bảo lãnh ngân hàng đã được Bên B xác lập trong hồ sơ dự thầu, bảo đảm cân đối nguồn lực tài chính cho nhà thầu tập trung triển khai kỹ thuật.</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2. Thư bảo lãnh thực hiện hợp đồng là bảo lãnh không điều kiện và không hủy ngang, cam kết thanh toán vô điều kiện cho Bên A khi nhận được văn bản thông báo của Bên A về việc Bên B vi phạm nghiêm trọng nghĩa vụ hợp đồng.</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3. Thời hạn hiệu lực của bảo đảm thực hiện hợp đồng kéo dài từ ngày hợp đồng có hiệu lực cho đến khi Bên B hoàn thành nghĩa vụ bàn giao, nghiệm thu đưa hệ thống vào vận hành chính thức và chuyển sang thực hiện nghĩa vụ bảo hành.</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4. Bên A hoàn trả thư bảo lãnh thực hiện hợp đồng cho Bên B trong thời hạn không quá 14 ngày làm việc kể từ ngày hệ thống được nghiệm thu vận hành chính thức và Bên B nộp thư bảo lãnh bảo hành hoặc áp dụng hình thức giữ lại 10% tiền bảo hành theo quy định tại Điều 6 của hợp đồng.</w:t>
      </w:r>
    </w:p>
    <w:p>
      <w:pPr>
        <w:jc w:val="left"/>
        <w:spacing w:before="16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Điều 8. Danh mục sản phẩm bàn giao và tiêu chuẩn nghiệm thu</w:t>
      </w:r>
    </w:p>
    <w:p>
      <w:pPr>
        <w:jc w:val="both"/>
        <w:spacing w:before="20" w:after="40" w:line="276" w:lineRule="auto"/>
      </w:pPr>
      <w:r>
        <w:rPr>
          <w:rFonts w:ascii="Times New Roman" w:hAnsi="Times New Roman"/>
          <w:b/>
          <w:i w:val="0"/>
          <w:color w:val="000000"/>
          <w:sz w:val="24"/>
          <w:rFonts w:ascii="Times New Roman" w:hAnsi="Times New Roman" w:cs="Times New Roman"/>
          <w:rFonts w:ascii="Times New Roman" w:hAnsi="Times New Roman" w:cs="Times New Roman" w:eastAsia="Times New Roman"/>
        </w:rPr>
        <w:t>1. Bên B có nghĩa vụ bàn giao đầy đủ cho Bên A các thành quả kỹ thuật nguyên mẫu theo đúng danh mục bắt buộc sau:</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a. Bộ tài liệu đặc tả kỹ thuật Specification: Gồm cấu hình cơ sở dữ liệu, danh mục chức năng chi tiết, đặc tả giao diện API và quy chế phân quyền người dùng.</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b. Sơ đồ luồng vận hành mới New Operational Flow: Thể hiện chi tiết mối quan hệ và luồng dữ liệu giữa khách hàng, hệ thống Web Site Selling System, hệ thống trung tâm Main System và khâu vận chuyển giao nhận.</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c. Thiết kế cấu trúc cơ sở dữ liệu bán hàng Database Structure: Thiết kế chi tiết các bảng dữ liệu, khóa chính, khóa ngoại, chỉ mục tìm kiếm và lược đồ quan hệ thực thể của Selling DB.</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d. Sơ đồ cấu trúc phân tầng Menu Layer: Sơ đồ phân cấp cây điều hướng người dùng, cây danh mục sản phẩm và ma trận phân quyền truy cập.</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đ. Toàn bộ mã nguồn nguồn mở, tài liệu hướng dẫn cài đặt, tài liệu hướng dẫn tích hợp API và kịch bản đo kiểm hiệu năng chịu tải.</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2. Tiêu chuẩn nghiệm thu sản phẩm: Hệ thống chỉ được coi là nghiệm thu đạt yêu cầu khi đáp ứng đầy đủ các tiêu chuẩn sau: Chạy thông suốt trên môi trường kiểm thử và vận hành thực tế; không còn bất kỳ lỗi nghiêm trọng cấp 1 và cấp 2 nào chưa được khắc phục; chỉ số sẵn sàng vận hành đạt từ 99,9% trở lên; thời gian phản hồi P95 dưới 2 giây với 5.000 người dùng đồng thời; kết nối thông suốt 05 luồng dữ liệu với hệ thống Main System; đầy đủ tài liệu bàn giao được Bên A phê duyệt bằng văn bản.</w:t>
      </w:r>
    </w:p>
    <w:p>
      <w:pPr>
        <w:jc w:val="left"/>
        <w:spacing w:before="16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Điều 9. Quản trị quỹ dự phòng và quy trình quản lý thay đổi</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1. Khoản kinh phí quỹ dự phòng rủi ro kỹ thuật và quản lý thay đổi có giá trị sau thuế là 260.490.000 VNĐ đã nằm trong tổng giá hợp đồng 1.200.000.000 VNĐ, là khoản chi phí dự phòng chịu sự kiểm soát của Bên A.</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2. Khi phát sinh yêu cầu thay đổi ngoài phạm vi công việc ban đầu, hai bên thực hiện theo quy trình 6 bước quản lý thay đổi quy định tại khoản 3 Điều này.</w:t>
      </w:r>
    </w:p>
    <w:p>
      <w:pPr>
        <w:jc w:val="both"/>
        <w:spacing w:before="20" w:after="40" w:line="276" w:lineRule="auto"/>
      </w:pPr>
      <w:r>
        <w:rPr>
          <w:rFonts w:ascii="Times New Roman" w:hAnsi="Times New Roman"/>
          <w:b/>
          <w:i w:val="0"/>
          <w:color w:val="000000"/>
          <w:sz w:val="24"/>
          <w:rFonts w:ascii="Times New Roman" w:hAnsi="Times New Roman" w:cs="Times New Roman"/>
          <w:rFonts w:ascii="Times New Roman" w:hAnsi="Times New Roman" w:cs="Times New Roman" w:eastAsia="Times New Roman"/>
        </w:rPr>
        <w:t>3. Quy trình quản lý thay đổi được thực hiện nghiêm ngặt theo 6 bước:</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a. Bước 1: Bên A hoặc Bên B phát văn bản yêu cầu thay đổi tính năng hoặc luồng nghiệp vụ.</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b. Bước 2: Bên B phân tích tác động kỹ thuật, thời gian và chi phí phát sinh, lập hồ sơ đề xuất thay đổi.</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c. Bước 3: Ban kiểm soát thay đổi do đại diện Bên A chủ trì xem xét, thẩm định tính cần thiết và tính khả thi.</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d. Bước 4: Ban kiểm soát thay đổi ra quyết định chấp thuận, yêu cầu điều chỉnh hoặc từ chối thay đổi bằng văn bản.</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đ. Bước 5: Hai bên ký phụ lục hợp đồng điều chỉnh và cấp phép sử dụng nguồn kinh phí từ quỹ dự phòng tương ứng với khối lượng công việc phát sinh được duyệt.</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e. Bước 6: Bên B triển khai, kiểm thử và bàn giao sản phẩm thay đổi theo phụ lục đã ký.</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4. Giá trị hợp đồng trọn gói 1.200.000.000 VNĐ đã bao gồm toàn bộ chi phí kỹ thuật, quản lý rủi ro và quỹ dự phòng theo thỏa thuận. Chủ đầu tư chấp thuận giải ngân trọn gói tổng kinh phí 1.200.000.000 VNĐ cho Bên B khi Bên B hoàn thành đầy đủ các sản phẩm bàn giao và vượt qua các kỳ kiểm tra nghiệm thu theo quy định của hợp đồng mà không khấu trừ phần kinh phí dự phòng chưa phát sinh yêu cầu thay đổi, trên cơ sở Bên A chủ động sử dụng quỹ dự phòng này để ban hành các yêu cầu thay đổi phù hợp với chiến lược phát triển hệ thống trong suốt quá trình triển khai dự án.</w:t>
      </w:r>
    </w:p>
    <w:p>
      <w:pPr>
        <w:jc w:val="left"/>
        <w:spacing w:before="16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Điều 10. Cam kết mức dịch vụ SLA, chính sách bảo hành và giảm trừ thanh toán</w:t>
      </w:r>
    </w:p>
    <w:p>
      <w:pPr>
        <w:jc w:val="both"/>
        <w:spacing w:before="20" w:after="40" w:line="276" w:lineRule="auto"/>
      </w:pPr>
      <w:r>
        <w:rPr>
          <w:rFonts w:ascii="Times New Roman" w:hAnsi="Times New Roman"/>
          <w:b/>
          <w:i w:val="0"/>
          <w:color w:val="000000"/>
          <w:sz w:val="24"/>
          <w:rFonts w:ascii="Times New Roman" w:hAnsi="Times New Roman" w:cs="Times New Roman"/>
          <w:rFonts w:ascii="Times New Roman" w:hAnsi="Times New Roman" w:cs="Times New Roman" w:eastAsia="Times New Roman"/>
        </w:rPr>
        <w:t>1. Cam kết chất lượng dịch vụ và bảo hành 12 tháng:</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a. Bên B chịu trách nhiệm bảo hành kỹ thuật toàn diện trong vòng 12 tháng kể từ ngày hệ thống được nghiệm thu vận hành chính thức.</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b. Mọi sai sót về logic nghiệp vụ, khiếm khuyết trong mã nguồn hoặc sự cố phần mềm thuộc trách nhiệm của Bên B, Bên B bắt buộc phải chỉnh sửa, bổ sung và khắc phục triệt để bằng trách nhiệm và toàn bộ chi phí độc lập của Bên B trong thời gian sớm nhất có thể. Nghĩa vụ bảo hành miễn phí của Bên B không bao gồm các sự cố do hạ tầng máy chủ hoặc đường truyền mạng của Bên A, các sự cố do bên thứ ba gồm cổng thanh toán và nhà mạng viễn thông, sự cố từ hệ thống Main System, các lỗi do nhân sự của Bên A vận hành sai quy trình hoặc các sửa đổi mã nguồn do bên thứ ba thực hiện mà không có sự chấp thuận của Bên B; tuy nhiên Bên B vẫn có trách nhiệm phối hợp hỗ trợ kỹ thuật và trích xuất dữ liệu ghi nhận hệ thống để khắc phục kịp thời.</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c. Bên B duy trì đường dây nóng và đội ngũ nhân sự kỹ thuật trực 24/7/365 để tiếp nhận và ứng cứu sự cố kịp thời.</w:t>
      </w:r>
    </w:p>
    <w:p>
      <w:pPr>
        <w:jc w:val="both"/>
        <w:spacing w:before="20" w:after="40" w:line="276" w:lineRule="auto"/>
      </w:pPr>
      <w:r>
        <w:rPr>
          <w:rFonts w:ascii="Times New Roman" w:hAnsi="Times New Roman"/>
          <w:b/>
          <w:i w:val="0"/>
          <w:color w:val="000000"/>
          <w:sz w:val="24"/>
          <w:rFonts w:ascii="Times New Roman" w:hAnsi="Times New Roman" w:cs="Times New Roman"/>
          <w:rFonts w:ascii="Times New Roman" w:hAnsi="Times New Roman" w:cs="Times New Roman" w:eastAsia="Times New Roman"/>
        </w:rPr>
        <w:t>2. Thời gian ứng cứu và xử lý sự cố chuẩn:</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a. Tiếp nhận thông tin và phản hồi sự cố trong vòng không quá 15 phút kể từ khi nhận được cảnh báo.</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b. Khắc phục hoàn toàn sự cố nghiêm trọng cấp 1 gây gián đoạn toàn bộ hoạt động bán hàng trực tuyến trong vòng tối đa 02 giờ.</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c. Khắc phục sự cố cấp 2 ảnh hưởng đến một phần chức năng nhưng khách hàng vẫn có thể đặt hàng trong vòng tối đa 04 giờ.</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d. Khắc phục các sai sót khiếm khuyết giao diện và yêu cầu hỗ trợ thông thường trong vòng tối đa 24 giờ.</w:t>
      </w:r>
    </w:p>
    <w:p>
      <w:pPr>
        <w:jc w:val="both"/>
        <w:spacing w:before="20" w:after="40" w:line="276" w:lineRule="auto"/>
      </w:pPr>
      <w:r>
        <w:rPr>
          <w:rFonts w:ascii="Times New Roman" w:hAnsi="Times New Roman"/>
          <w:b/>
          <w:i w:val="0"/>
          <w:color w:val="000000"/>
          <w:sz w:val="24"/>
          <w:rFonts w:ascii="Times New Roman" w:hAnsi="Times New Roman" w:cs="Times New Roman"/>
          <w:rFonts w:ascii="Times New Roman" w:hAnsi="Times New Roman" w:cs="Times New Roman" w:eastAsia="Times New Roman"/>
        </w:rPr>
        <w:t>3. Cơ chế giảm trừ thanh toán vì vi phạm mức dịch vụ:</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a. Nếu tỷ lệ sẵn sàng vận hành của hệ thống trong tháng đạt từ 99,0% đến dưới 99,5%, Bên A thực hiện giảm trừ 2% giá trị thanh toán của kỳ; nếu tỷ lệ sẵn sàng dưới 99,0%, giảm trừ 5% giá trị thanh toán của kỳ.</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b. Nếu thời gian phản hồi giao dịch P95 vượt quá 2 giây do lỗi kiến trúc hoặc mã nguồn của Bên B trên nền tảng hạ tầng đáp ứng đúng khuyến nghị kỹ thuật, Bên A thực hiện giảm trừ 2% giá trị thanh toán của kỳ đối với mỗi 0,5 giây vượt quá mức cam kết. Quy định giảm trừ này không áp dụng trong trường hợp hạ tầng máy chủ hoặc đường truyền mạng do Bên A cung cấp không đáp ứng đủ tài nguyên theo cấu hình khuyến nghị.</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c. Nếu vi phạm thời gian khắc phục sự cố cấp 1 vượt quá 02 giờ, Bên A giảm trừ 1% giá trị thanh toán của kỳ cho mỗi giờ chậm trễ tiếp theo.</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d. Nếu để phát sinh lỗi sai lệch dữ liệu tồn kho dẫn đến việc bán hàng vượt quá tồn thực tế gây khiếu nại hoặc hủy đơn hàng của khách và lỗi này được hai bên xác định bằng văn bản là do lỗi logic phần mềm Web Site Selling System của Bên B gây ra, Bên A thực hiện giảm trừ 3% giá trị thanh toán của kỳ. Quy định giảm trừ này không áp dụng đối với các sai lệch do độ trễ đồng bộ từ hệ thống Main System, sự cố đường truyền mạng của Bên A hoặc sai lệch dữ liệu kiểm kê tại chuỗi 25 cửa hàng của Bên A.</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đ. Toàn bộ các khoản giảm trừ thanh toán sẽ được tổng hợp hàng tháng và khấu trừ trực tiếp vào đợt thanh toán liền kề hoặc trừ vào khoản tiền bảo hành của Bên B.</w:t>
      </w:r>
    </w:p>
    <w:p>
      <w:pPr>
        <w:jc w:val="both"/>
        <w:spacing w:before="20" w:after="40" w:line="276" w:lineRule="auto"/>
      </w:pPr>
      <w:r>
        <w:rPr>
          <w:rFonts w:ascii="Times New Roman" w:hAnsi="Times New Roman"/>
          <w:b/>
          <w:i w:val="0"/>
          <w:color w:val="000000"/>
          <w:sz w:val="24"/>
          <w:rFonts w:ascii="Times New Roman" w:hAnsi="Times New Roman" w:cs="Times New Roman"/>
          <w:rFonts w:ascii="Times New Roman" w:hAnsi="Times New Roman" w:cs="Times New Roman" w:eastAsia="Times New Roman"/>
        </w:rPr>
        <w:t>4. Chế tài phạt chậm tiến độ:</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a. Trường hợp Bên B chậm trễ bàn giao các mốc sản phẩm chính hoặc chậm mốc vận hành chính thức mà không do lỗi của Bên A hoặc không thuộc sự kiện bất khả kháng, Bên B chịu phạt 1% giá trị khối lượng công việc chậm thực hiện cho mỗi tuần chậm trễ.</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b. Tổng mức phạt vi phạm hợp đồng tối đa không vượt quá 8% tổng giá trị hợp đồng. Khi đạt mức phạt tối đa 8%, Bên A có quyền đơn phương chấm dứt hợp đồng và thu hồi toàn bộ tiền bảo lãnh thực hiện hợp đồng.</w:t>
      </w:r>
    </w:p>
    <w:p>
      <w:pPr>
        <w:jc w:val="left"/>
        <w:spacing w:before="16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Điều 11. Nhân sự chủ chốt và quy định về nhà thầu phụ</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1. Huy động nhân sự chủ chốt: Bên B cam kết huy động đúng đội ngũ 12 nhân sự chủ chốt đã đề xuất gồm: 01 quản lý dự án PM có chứng chỉ quản lý chuyên nghiệp PMP, 01 kiến trúc sư hệ thống SA có chứng chỉ kiến trúc sư giải pháp đám mây, 01 chuyên viên phân tích nghiệp vụ BA, 01 chuyên viên thiết kế giao diện UX, 05 kỹ sư lập trình DEV, 02 chuyên viên kiểm thử QC và 01 kỹ sư hạ tầng và vận hành OPS. Bên B không được tự ý thay đổi nhân sự chủ chốt trong suốt quá trình triển khai dự án.</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2. Trường hợp bất khả kháng cần thay thế nhân sự, Bên B phải gửi văn bản đề xuất trước tối thiểu 10 ngày làm việc và phải được Bên A chấp thuận bằng văn bản. Nhân sự thay thế bắt buộc phải có trình độ chuyên môn, số năm kinh nghiệm và chứng chỉ nghề nghiệp tương đương hoặc cao hơn nhân sự bị thay thế.</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3. Trường hợp nhân sự của Bên B không đáp ứng được yêu cầu chuyên môn hoặc vi phạm kỷ luật làm việc được chứng minh bằng văn bản đánh giá công việc cụ thể của Bên A, Bên A có quyền gửi yêu cầu bằng văn bản nêu rõ lý do; trong vòng không quá 07 ngày làm việc kể từ khi nhận văn bản của Bên A, Bên B tiến hành thay thế nhân sự khác có năng lực tương đương hoặc cao hơn. Toàn bộ chi phí phát sinh do chuyển giao và thay đổi nhân sự do Bên B tự chi trả.</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4. Quy định về nhà thầu phụ: Bên B là đơn vị chịu trách nhiệm toàn diện và duy nhất trước Bên A về tiến độ, chất lượng và bảo mật của toàn bộ gói thầu. Trường hợp Bên B cần sử dụng nhà thầu phụ để thực hiện một phần công việc chuyên môn hóa, Bên B bắt buộc phải gửi văn bản yêu cầu và phải được Bên A chấp thuận trước bằng văn bản. Tổng giá trị khối lượng công việc giao cho nhà thầu phụ tuyệt đối không được vượt quá 20% giá trị hợp đồng. Nhà thầu phụ không được tiếp tục giao lại công việc cho bất kỳ bên thứ ba nào khác.</w:t>
      </w:r>
    </w:p>
    <w:p>
      <w:pPr>
        <w:jc w:val="left"/>
        <w:spacing w:before="16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Điều 12. Quyền sở hữu trí tuệ và nghĩa vụ bảo mật thông tin</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1. Quyền sở hữu và bản quyền tác giả: Toàn bộ quyền sở hữu trí tuệ, bản quyền tác giả đối với các sản phẩm bàn giao, mã nguồn ứng dụng, cấu trúc cơ sở dữ liệu Selling DB, cấu trúc Menu Layer, tài liệu thiết kế và toàn bộ thành quả kỹ thuật phát sinh trong suốt quá trình triển khai dự án này đều thuộc quyền sở hữu duy nhất, toàn vẹn và vĩnh viễn của Bên A.</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2. Bên B tuyệt đối không được sao chép, trích xuất, chuyển giao, bán, cho thuê hoặc sử dụng một phần hay toàn bộ các thành quả kỹ thuật này cho bất kỳ bên thứ ba nào khác khi chưa có sự đồng ý bằng văn bản của Bên A.</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3. Nghĩa vụ bảo mật thông tin: Toàn bộ tài liệu yêu cầu, dữ liệu kinh doanh, thông tin khách hàng, số liệu giao dịch tài chính và mã nguồn hệ thống của Bên A là tài sản bảo mật tuyệt đối. Bên B và toàn bộ nhân sự tham gia dự án có trách nhiệm tuân thủ nghiêm ngặt quy chế an toàn thông tin, không được tiết lộ bất kỳ thông tin nào ra bên ngoài dưới bất kỳ hình thức nào. Nghĩa vụ bảo mật này duy trì hiệu lực vô thời hạn ngay cả sau khi hợp đồng này chấm dứt hoặc thanh lý.</w:t>
      </w:r>
    </w:p>
    <w:p>
      <w:pPr>
        <w:jc w:val="left"/>
        <w:spacing w:before="16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Điều 13. Sửa đổi, tạm ngừng và chấm dứt hợp đồng</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1. Mọi sửa đổi, bổ sung hợp đồng đều phải được hai bên thống nhất lập thành văn bản dưới hình thức phụ lục hợp đồng do người đại diện hợp pháp của hai bên ký kết.</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2. Bên A có quyền đơn phương chấm dứt hợp đồng và thu hồi toàn bộ tiền bảo đảm thực hiện hợp đồng trong các trường hợp sau:</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a. Bên B tự ý chuyển nhượng hợp đồng hoặc sử dụng nhà thầu phụ vượt quá 20% giá trị hợp đồng mà không có sự chấp thuận bằng văn bản của Bên A.</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b. Bên B chậm tiến độ quá 30 ngày so với các mốc đã cam kết hoặc làm trễ mốc vận hành chính thức ngày 01 tháng 07 năm 2026 hoặc mốc vận hành chính thức đã được gia hạn hợp pháp tối đa 03 tuần theo quy định của hợp đồng mà không đưa ra được giải pháp khắc phục khả thi được Bên A phê duyệt.</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c. Bên B bị phá sản, giải thể hoặc mất khả năng thanh toán.</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d. Tổng mức phạt vi phạm hợp đồng của Bên B đạt mức tối đa 8% giá trị hợp đồng.</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3. Khi hợp đồng bị chấm dứt do lỗi của Bên B, Bên B phải bồi thường toàn bộ thiệt hại thực tế phát sinh cho Bên A và hoàn trả toàn bộ số tiền Bên A đã tạm ứng hoặc thanh toán chưa được đối ứng bằng sản phẩm nghiệm thu đạt yêu cầu.</w:t>
      </w:r>
    </w:p>
    <w:p>
      <w:pPr>
        <w:jc w:val="both"/>
        <w:spacing w:before="20" w:after="40" w:line="276" w:lineRule="auto"/>
      </w:pPr>
      <w:r>
        <w:rPr>
          <w:rFonts w:ascii="Times New Roman" w:hAnsi="Times New Roman"/>
          <w:b/>
          <w:i w:val="0"/>
          <w:color w:val="000000"/>
          <w:sz w:val="24"/>
          <w:rFonts w:ascii="Times New Roman" w:hAnsi="Times New Roman" w:cs="Times New Roman"/>
          <w:rFonts w:ascii="Times New Roman" w:hAnsi="Times New Roman" w:cs="Times New Roman" w:eastAsia="Times New Roman"/>
        </w:rPr>
        <w:t>4. Quyền tạm ngừng và đơn phương chấm dứt hợp đồng của Bên B:</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a. Bên A chậm thanh toán các đợt giải ngân quá 20 ngày làm việc kể từ ngày đến hạn theo quy định tại Điều 6, Bên B có quyền tạm ngừng thực hiện công việc cho đến khi nhận được đầy đủ số tiền thanh toán; thời gian hoàn thành các mốc tiếp theo được tự động gia hạn tương ứng với thời gian tạm ngừng.</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b. Bên A chậm bàn giao môi trường kết nối kỹ thuật, tài liệu API hoặc chậm phê duyệt vượt quá 15 ngày làm việc làm ảnh hưởng nghiêm trọng đến đường găng tiến độ của dự án, và Bên B đã gửi văn bản cảnh báo trước tối thiểu 05 ngày làm việc.</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c. Bên A chậm thanh toán quá 45 ngày làm việc mà không có văn bản giải trình thỏa đáng, Bên B có quyền đơn phương chấm dứt hợp đồng. Khi chấm dứt hợp đồng theo quy định tại điểm này, Bên A có trách nhiệm thanh toán toàn bộ giá trị khối lượng công việc Bên B đã thực hiện đạt chất lượng và hoàn trả thư bảo lãnh thực hiện hợp đồng cho Bên B trong vòng 14 ngày làm việc.</w:t>
      </w:r>
    </w:p>
    <w:p>
      <w:pPr>
        <w:jc w:val="left"/>
        <w:spacing w:before="16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Điều 14. Bồi thường thiệt hại và trách nhiệm pháp lý</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1. Trừ các trường hợp bất khả kháng theo quy định pháp luật, bên nào vi phạm các nghĩa vụ cam kết trong hợp đồng này gây ra thiệt hại vật chất cho bên kia thì phải bồi thường toàn bộ thiệt hại thực tế phát sinh.</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2. Thiệt hại thực tế bao gồm chi phí trực tiếp khắc phục sai sót, giá trị tài sản bị thất thoát, hư hỏng và các khoản phạt, chi phí pháp lý mà bên bị vi phạm phải gánh chịu do hành vi vi phạm của bên kia gây ra.</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3. Loại trừ thiệt hại gián tiếp: Trong mọi trường hợp, không bên nào phải chịu trách nhiệm trước bên kia về các thiệt hại gián tiếp, thiệt hại ngẫu nhiên, mất cơ hội kinh doanh, mất dữ liệu không thể khôi phục do lỗi hạ tầng của bên kia, tổn thất doanh thu hoặc mất lợi nhuận thương mại dự kiến phát sinh từ việc sử dụng hoặc không thể sử dụng hệ thống.</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4. Giới hạn tổng mức trách nhiệm bồi thường: Tổng trách nhiệm bồi thường thiệt hại tối đa của Bên B đối với toàn bộ các vi phạm, khiếu nại hoặc tranh chấp phát sinh từ hoặc liên quan đến hợp đồng này trong mọi trường hợp được giới hạn và không vượt quá 100% tổng giá trị hợp đồng là 1.200.000.000 VNĐ. Giới hạn trách nhiệm bồi thường này không áp dụng đối với các hành vi vi phạm nghĩa vụ bảo mật thông tin, xâm phạm quyền sở hữu trí tuệ hoặc vi phạm quy định bảo vệ dữ liệu cá nhân theo quy định pháp luật.</w:t>
      </w:r>
    </w:p>
    <w:p>
      <w:pPr>
        <w:jc w:val="left"/>
        <w:spacing w:before="16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Điều 15. Luật điều chỉnh và giải quyết tranh chấp</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1. Hợp đồng này được điều chỉnh và giải thích theo các quy định của pháp luật nước Cộng hòa Xã hội Chủ nghĩa Việt Nam.</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2. Mọi tranh chấp, bất đồng phát sinh từ hoặc liên quan đến hợp đồng này trước hết sẽ được hai bên giải quyết thông qua thương lượng, hòa giải trên tinh thần hợp tác và tôn trọng lợi ích chính đáng của nhau.</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3. Trường hợp hòa giải không thành trong thời hạn 30 ngày kể từ ngày phát sinh tranh chấp, tranh chấp sẽ được đưa ra giải quyết tại tòa án nhân dân có thẩm quyền tại thành phố Hà Nội. Quyết định hoặc bản án có hiệu lực pháp luật của tòa án là phán quyết cuối cùng bắt buộc hai bên phải nghiêm chỉnh thi hành. Toàn bộ án phí và chi phí pháp lý liên quan sẽ do bên thua kiện chịu trách nhiệm thanh toán, trừ khi tòa án có phán quyết khác.</w:t>
      </w:r>
    </w:p>
    <w:p>
      <w:pPr>
        <w:jc w:val="left"/>
        <w:spacing w:before="160" w:after="60" w:line="276" w:lineRule="auto"/>
      </w:pPr>
      <w:r>
        <w:rPr>
          <w:rFonts w:ascii="Times New Roman" w:hAnsi="Times New Roman"/>
          <w:b/>
          <w:i w:val="0"/>
          <w:color w:val="000000"/>
          <w:sz w:val="25"/>
          <w:rFonts w:ascii="Times New Roman" w:hAnsi="Times New Roman" w:cs="Times New Roman"/>
          <w:rFonts w:ascii="Times New Roman" w:hAnsi="Times New Roman" w:cs="Times New Roman" w:eastAsia="Times New Roman"/>
        </w:rPr>
        <w:t>Điều 16. Điều khoản thi hành và hiệu lực hợp đồng</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1. Hợp đồng này có hiệu lực kể từ ngày đại diện hợp pháp của hai bên cùng ký tên, đóng dấu và Bên B nộp thư bảo lãnh thực hiện hợp đồng hợp lệ cho Bên A.</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2. Hợp đồng này tự động chấm dứt hiệu lực khi hai bên hoàn thành toàn bộ nghĩa vụ quy định trong hợp đồng, hoàn tất thời hạn bảo hành 12 tháng và ký biên bản thanh lý hợp đồng.</w:t>
      </w:r>
    </w:p>
    <w:p>
      <w:pPr>
        <w:jc w:val="both"/>
        <w:spacing w:before="20" w:after="40" w:line="276" w:lineRule="auto"/>
      </w:pPr>
      <w:r>
        <w:rPr>
          <w:rFonts w:ascii="Times New Roman" w:hAnsi="Times New Roman"/>
          <w:i w:val="0"/>
          <w:color w:val="000000"/>
          <w:sz w:val="24"/>
          <w:rFonts w:ascii="Times New Roman" w:hAnsi="Times New Roman" w:cs="Times New Roman"/>
          <w:rFonts w:ascii="Times New Roman" w:hAnsi="Times New Roman" w:cs="Times New Roman" w:eastAsia="Times New Roman"/>
        </w:rPr>
        <w:t>3. Hợp đồng được lập thành 04 bản chính bằng tiếng Việt có giá trị pháp lý như nhau, Bên A giữ 02 bản, Bên B giữ 02 bản để cùng theo dõi và phối hợp triển khai thực hiện.</w:t>
      </w:r>
    </w:p>
    <w:p>
      <w:pPr>
        <w:jc w:val="left"/>
        <w:spacing w:before="320" w:after="80" w:line="276" w:lineRule="auto"/>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2"/>
        <w:gridCol w:w="4702"/>
      </w:tblGrid>
      <w:tr>
        <w:tc>
          <w:tcPr>
            <w:tcW w:type="dxa" w:w="4702"/>
            <w:shd w:val="clear" w:color="auto" w:fill="FFFFFF"/>
          </w:tcPr>
          <w:p>
            <w:pPr>
              <w:jc w:val="center"/>
            </w:pPr>
            <w:r>
              <w:rPr>
                <w:rFonts w:ascii="Times New Roman" w:hAnsi="Times New Roman"/>
                <w:i w:val="0"/>
                <w:color w:val="000000"/>
                <w:sz w:val="25"/>
                <w:rFonts w:ascii="Times New Roman" w:hAnsi="Times New Roman" w:cs="Times New Roman"/>
                <w:rFonts w:ascii="Times New Roman" w:hAnsi="Times New Roman" w:cs="Times New Roman" w:eastAsia="Times New Roman"/>
              </w:rPr>
              <w:t>ĐẠI DIỆN BÊN A</w:t>
              <w:br/>
            </w:r>
            <w:r>
              <w:rPr>
                <w:rFonts w:ascii="Times New Roman" w:hAnsi="Times New Roman"/>
                <w:i w:val="0"/>
                <w:color w:val="000000"/>
                <w:sz w:val="24"/>
                <w:rFonts w:ascii="Times New Roman" w:hAnsi="Times New Roman" w:cs="Times New Roman"/>
                <w:rFonts w:ascii="Times New Roman" w:hAnsi="Times New Roman" w:cs="Times New Roman" w:eastAsia="Times New Roman"/>
              </w:rPr>
              <w:t>TỔNG GIÁM ĐỐC</w:t>
              <w:br/>
              <w:br/>
              <w:br/>
              <w:br/>
              <w:br/>
            </w:r>
            <w:r>
              <w:rPr>
                <w:rFonts w:ascii="Times New Roman" w:hAnsi="Times New Roman"/>
                <w:i w:val="0"/>
                <w:color w:val="000000"/>
                <w:sz w:val="24"/>
                <w:rFonts w:ascii="Times New Roman" w:hAnsi="Times New Roman" w:cs="Times New Roman"/>
                <w:rFonts w:ascii="Times New Roman" w:hAnsi="Times New Roman" w:cs="Times New Roman" w:eastAsia="Times New Roman"/>
              </w:rPr>
              <w:t>Nguyễn Văn A</w:t>
            </w:r>
          </w:p>
        </w:tc>
        <w:tc>
          <w:tcPr>
            <w:tcW w:type="dxa" w:w="4702"/>
            <w:shd w:val="clear" w:color="auto" w:fill="FFFFFF"/>
          </w:tcPr>
          <w:p>
            <w:pPr>
              <w:jc w:val="center"/>
            </w:pPr>
            <w:r>
              <w:rPr>
                <w:rFonts w:ascii="Times New Roman" w:hAnsi="Times New Roman"/>
                <w:i w:val="0"/>
                <w:color w:val="000000"/>
                <w:sz w:val="25"/>
                <w:rFonts w:ascii="Times New Roman" w:hAnsi="Times New Roman" w:cs="Times New Roman"/>
                <w:rFonts w:ascii="Times New Roman" w:hAnsi="Times New Roman" w:cs="Times New Roman" w:eastAsia="Times New Roman"/>
              </w:rPr>
              <w:t>ĐẠI DIỆN BÊN B</w:t>
              <w:br/>
            </w:r>
            <w:r>
              <w:rPr>
                <w:rFonts w:ascii="Times New Roman" w:hAnsi="Times New Roman"/>
                <w:i w:val="0"/>
                <w:color w:val="000000"/>
                <w:sz w:val="24"/>
                <w:rFonts w:ascii="Times New Roman" w:hAnsi="Times New Roman" w:cs="Times New Roman"/>
                <w:rFonts w:ascii="Times New Roman" w:hAnsi="Times New Roman" w:cs="Times New Roman" w:eastAsia="Times New Roman"/>
              </w:rPr>
              <w:t>ĐẠI DIỆN ĐƯỢC ỦY QUYỀN</w:t>
              <w:br/>
              <w:br/>
              <w:br/>
              <w:br/>
              <w:br/>
            </w:r>
            <w:r>
              <w:rPr>
                <w:rFonts w:ascii="Times New Roman" w:hAnsi="Times New Roman"/>
                <w:i w:val="0"/>
                <w:color w:val="000000"/>
                <w:sz w:val="24"/>
                <w:rFonts w:ascii="Times New Roman" w:hAnsi="Times New Roman" w:cs="Times New Roman"/>
                <w:rFonts w:ascii="Times New Roman" w:hAnsi="Times New Roman" w:cs="Times New Roman" w:eastAsia="Times New Roman"/>
              </w:rPr>
              <w:t>Giám đốc Dự án Nhà thầu</w:t>
            </w:r>
          </w:p>
        </w:tc>
      </w:tr>
      <w:tr>
        <w:tc>
          <w:tcPr>
            <w:tcW w:type="dxa" w:w="4702"/>
            <w:shd w:val="clear" w:color="auto" w:fill="FFFFFF"/>
          </w:tcPr>
          <w:p/>
        </w:tc>
        <w:tc>
          <w:tcPr>
            <w:tcW w:type="dxa" w:w="4702"/>
            <w:shd w:val="clear" w:color="auto" w:fill="FFFFFF"/>
          </w:tcPr>
          <w:p/>
        </w:tc>
      </w:tr>
    </w:tbl>
    <w:sectPr w:rsidR="00FC693F" w:rsidRPr="0006063C" w:rsidSect="00034616">
      <w:headerReference w:type="default" r:id="rId9"/>
      <w:footerReference w:type="default" r:id="rId10"/>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