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172A"/>
            <w:tcBorders>
              <w:top w:val="single" w:sz="6" w:space="0" w:color="0F172A"/>
              <w:left w:val="single" w:sz="6" w:space="0" w:color="0F172A"/>
              <w:bottom w:val="single" w:sz="6" w:space="0" w:color="0F172A"/>
              <w:right w:val="single" w:sz="6" w:space="0" w:color="0F172A"/>
              <w:insideH w:val="single" w:sz="6" w:space="0" w:color="0F172A"/>
              <w:insideV w:val="single" w:sz="6" w:space="0" w:color="0F172A"/>
            </w:tcBorders>
          </w:tcPr>
          <w:p>
            <w:pPr>
              <w:jc w:val="center"/>
            </w:pPr>
            <w:r>
              <w:rPr>
                <w:sz w:val="21"/>
              </w:rPr>
            </w:r>
            <w:r>
              <w:rPr>
                <w:rFonts w:ascii="Calibri" w:hAnsi="Calibri"/>
                <w:b/>
                <w:color w:val="FFFFFF"/>
                <w:sz w:val="22"/>
              </w:rPr>
              <w:t>BÁO CÁO KỸ THUẬT DỰ ÁN HỌC MÁY</w:t>
              <w:br/>
            </w:r>
            <w:r>
              <w:rPr>
                <w:rFonts w:ascii="Calibri" w:hAnsi="Calibri"/>
                <w:color w:val="E2E8F0"/>
                <w:sz w:val="21"/>
              </w:rPr>
              <w:t>CO2 Regression  |  Churn Classification</w:t>
            </w:r>
          </w:p>
        </w:tc>
      </w:tr>
    </w:tbl>
    <w:p/>
    <w:tbl>
      <w:tblPr>
        <w:tblStyle w:val="TableGrid"/>
        <w:tblW w:type="auto" w:w="0"/>
        <w:jc w:val="center"/>
        <w:tblLayout w:type="fixed"/>
        <w:tblLook w:firstColumn="1" w:firstRow="1" w:lastColumn="0" w:lastRow="0" w:noHBand="0" w:noVBand="1" w:val="04A0"/>
      </w:tblPr>
      <w:tblGrid>
        <w:gridCol w:w="5040"/>
        <w:gridCol w:w="5040"/>
      </w:tblGrid>
      <w:tr>
        <w:tc>
          <w:tcPr>
            <w:tcW w:type="dxa" w:w="2232"/>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Thông tin</w:t>
            </w:r>
          </w:p>
        </w:tc>
        <w:tc>
          <w:tcPr>
            <w:tcW w:type="dxa" w:w="813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Nội dung</w:t>
            </w:r>
          </w:p>
        </w:tc>
      </w:tr>
      <w:tr>
        <w:tc>
          <w:tcPr>
            <w:tcW w:type="dxa" w:w="223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Mục đích</w:t>
            </w:r>
          </w:p>
        </w:tc>
        <w:tc>
          <w:tcPr>
            <w:tcW w:type="dxa" w:w="813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Mô tả chi tiết nội dung dự án, cấu trúc code, dữ liệu, pipeline, thuật toán, đánh giá và đầu ra.</w:t>
            </w:r>
          </w:p>
        </w:tc>
      </w:tr>
      <w:tr>
        <w:tc>
          <w:tcPr>
            <w:tcW w:type="dxa" w:w="223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Bài toán 1</w:t>
            </w:r>
          </w:p>
        </w:tc>
        <w:tc>
          <w:tcPr>
            <w:tcW w:type="dxa" w:w="813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 Regression - dự đoán lượng phát thải CO2 của xe.</w:t>
            </w:r>
          </w:p>
        </w:tc>
      </w:tr>
      <w:tr>
        <w:tc>
          <w:tcPr>
            <w:tcW w:type="dxa" w:w="223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Bài toán 2</w:t>
            </w:r>
          </w:p>
        </w:tc>
        <w:tc>
          <w:tcPr>
            <w:tcW w:type="dxa" w:w="813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 Classification - dự đoán khách hàng có rời bỏ dịch vụ hay không.</w:t>
            </w:r>
          </w:p>
        </w:tc>
      </w:tr>
      <w:tr>
        <w:tc>
          <w:tcPr>
            <w:tcW w:type="dxa" w:w="223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Ngày cập nhật</w:t>
            </w:r>
          </w:p>
        </w:tc>
        <w:tc>
          <w:tcPr>
            <w:tcW w:type="dxa" w:w="813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10/06/2026</w:t>
            </w:r>
          </w:p>
        </w:tc>
      </w:tr>
    </w:tbl>
    <w:p/>
    <w:tbl>
      <w:tblPr>
        <w:tblW w:type="auto" w:w="0"/>
        <w:jc w:val="center"/>
        <w:tblLook w:firstColumn="1" w:firstRow="1" w:lastColumn="0" w:lastRow="0" w:noHBand="0" w:noVBand="1" w:val="04A0"/>
      </w:tblPr>
      <w:tblGrid>
        <w:gridCol w:w="10080"/>
      </w:tblGrid>
      <w:tr>
        <w:tc>
          <w:tcPr>
            <w:tcW w:type="dxa" w:w="10080"/>
            <w:shd w:fill="E8F1FA"/>
            <w:tcBorders>
              <w:top w:val="single" w:sz="6" w:space="0" w:color="B7D3EA"/>
              <w:left w:val="single" w:sz="6" w:space="0" w:color="B7D3EA"/>
              <w:bottom w:val="single" w:sz="6" w:space="0" w:color="B7D3EA"/>
              <w:right w:val="single" w:sz="6" w:space="0" w:color="B7D3EA"/>
              <w:insideH w:val="single" w:sz="6" w:space="0" w:color="B7D3EA"/>
              <w:insideV w:val="single" w:sz="6" w:space="0" w:color="B7D3EA"/>
            </w:tcBorders>
          </w:tcPr>
          <w:p>
            <w:r>
              <w:rPr>
                <w:sz w:val="21"/>
              </w:rPr>
            </w:r>
            <w:r>
              <w:rPr>
                <w:rFonts w:ascii="Calibri" w:hAnsi="Calibri"/>
                <w:b/>
                <w:color w:val="1F4D78"/>
                <w:sz w:val="22"/>
              </w:rPr>
              <w:t>Phạm vi tài liệu</w:t>
              <w:br/>
            </w:r>
            <w:r>
              <w:rPr>
                <w:rFonts w:ascii="Calibri" w:hAnsi="Calibri"/>
                <w:color w:val="0F172A"/>
                <w:sz w:val="21"/>
              </w:rPr>
              <w:t>Tài liệu này chỉ trình bày mô tả kỹ thuật dự án. Nội dung được viết theo hướng báo cáo nộp bài, không chứa phần câu hỏi hoặc ghi chú vấn đáp.</w:t>
            </w:r>
          </w:p>
        </w:tc>
      </w:tr>
    </w:tbl>
    <w:p/>
    <w:p>
      <w:r>
        <w:rPr>
          <w:sz w:val="24"/>
        </w:rPr>
        <w:br w:type="page"/>
      </w:r>
    </w:p>
    <w:p>
      <w:pPr>
        <w:pStyle w:val="Heading1"/>
      </w:pPr>
      <w:r>
        <w:rPr>
          <w:sz w:val="36"/>
        </w:rPr>
        <w:t>1. Tóm tắt dự án</w:t>
      </w:r>
    </w:p>
    <w:p>
      <w:r>
        <w:rPr>
          <w:sz w:val="24"/>
        </w:rPr>
        <w:t>Dự án gồm hai pipeline học máy độc lập nhằm đáp ứng hai nhóm bài toán cơ bản: hồi quy và phân loại. Mỗi pipeline được triển khai theo quy trình đầy đủ: đọc dữ liệu, EDA, tiền xử lý, chia train/test, xây dựng Pipeline, so sánh nhiều mô hình, tối ưu siêu tham số, đánh giá trên tập test và lưu kết quả.</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9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Dự án</w:t>
            </w:r>
          </w:p>
        </w:tc>
        <w:tc>
          <w:tcPr>
            <w:tcW w:type="dxa" w:w="208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Loại bài toán</w:t>
            </w:r>
          </w:p>
        </w:tc>
        <w:tc>
          <w:tcPr>
            <w:tcW w:type="dxa" w:w="2592"/>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Dữ liệu</w:t>
            </w:r>
          </w:p>
        </w:tc>
        <w:tc>
          <w:tcPr>
            <w:tcW w:type="dxa" w:w="2304"/>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Mô hình tốt nhất</w:t>
            </w:r>
          </w:p>
        </w:tc>
        <w:tc>
          <w:tcPr>
            <w:tcW w:type="dxa" w:w="2592"/>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Metric chính</w:t>
            </w:r>
          </w:p>
        </w:tc>
      </w:tr>
      <w:tr>
        <w:tc>
          <w:tcPr>
            <w:tcW w:type="dxa" w:w="129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20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Regression</w:t>
            </w:r>
          </w:p>
        </w:tc>
        <w:tc>
          <w:tcPr>
            <w:tcW w:type="dxa" w:w="259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FuelConsumptionCo2.csv</w:t>
            </w:r>
          </w:p>
        </w:tc>
        <w:tc>
          <w:tcPr>
            <w:tcW w:type="dxa" w:w="230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Linear Regression</w:t>
            </w:r>
          </w:p>
        </w:tc>
        <w:tc>
          <w:tcPr>
            <w:tcW w:type="dxa" w:w="259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MAE, RMSE, R2</w:t>
            </w:r>
          </w:p>
        </w:tc>
      </w:tr>
      <w:tr>
        <w:tc>
          <w:tcPr>
            <w:tcW w:type="dxa" w:w="129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20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Binary Classification</w:t>
            </w:r>
          </w:p>
        </w:tc>
        <w:tc>
          <w:tcPr>
            <w:tcW w:type="dxa" w:w="259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Telco-Customer-Churn.csv</w:t>
            </w:r>
          </w:p>
        </w:tc>
        <w:tc>
          <w:tcPr>
            <w:tcW w:type="dxa" w:w="230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Logistic Regression</w:t>
            </w:r>
          </w:p>
        </w:tc>
        <w:tc>
          <w:tcPr>
            <w:tcW w:type="dxa" w:w="259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Accuracy, Precision, Recall, F1, ROC-AUC</w:t>
            </w:r>
          </w:p>
        </w:tc>
      </w:tr>
    </w:tbl>
    <w:p/>
    <w:p>
      <w:pPr>
        <w:pStyle w:val="Heading1"/>
      </w:pPr>
      <w:r>
        <w:rPr>
          <w:sz w:val="36"/>
        </w:rPr>
        <w:t>2. Cấu trúc dự án</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Thư mục / File</w:t>
            </w:r>
          </w:p>
        </w:tc>
        <w:tc>
          <w:tcPr>
            <w:tcW w:type="dxa" w:w="7200"/>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Vai trò</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data/raw</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Chứa dữ liệu gốc cho hai bài toán.</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ml_coursework/co2.py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Source code chính của bài CO2 Regression.</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ml_coursework/churn.py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Source code chính của bài Churn Classification.</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ml_coursework/data_loader.py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Tạo thư mục cần thiết, tải dữ liệu nếu thiếu và đọc CSV.</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ml_coursework/settings.py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Quản lý đường dẫn, URL dữ liệu và các tham số chung.</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ml_coursework/visual_style.py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Định nghĩa giao diện biểu đồ thống nhất.</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ml_coursework/figure_viewer.py</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Hiển thị biểu đồ bằng cửa sổ có nút chuyển.</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notebooks</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Notebook báo cáo cho từng bài.</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reports/figures</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Biểu đồ EDA và đánh giá mô hình.</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reports/tables</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Bảng kết quả ở định dạng CSV.</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submissions</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Hai thư mục nộp bài độc lập.</w:t>
            </w:r>
          </w:p>
        </w:tc>
      </w:tr>
    </w:tbl>
    <w:p/>
    <w:p>
      <w:pPr>
        <w:pStyle w:val="Heading1"/>
      </w:pPr>
      <w:r>
        <w:rPr>
          <w:sz w:val="36"/>
        </w:rPr>
        <w:t>3. Tìm hiểu dữ liệu</w:t>
      </w:r>
    </w:p>
    <w:p>
      <w:pPr>
        <w:pStyle w:val="Heading2"/>
      </w:pPr>
      <w:r>
        <w:rPr>
          <w:sz w:val="30"/>
        </w:rPr>
        <w:t>3.1. Bộ dữ liệu CO2</w:t>
      </w:r>
    </w:p>
    <w:p>
      <w:pPr>
        <w:pStyle w:val="ListBullet"/>
        <w:spacing w:after="60" w:line="276" w:lineRule="auto"/>
      </w:pPr>
      <w:r>
        <w:rPr>
          <w:rFonts w:ascii="Calibri" w:hAnsi="Calibri"/>
          <w:sz w:val="23"/>
        </w:rPr>
        <w:t>Biến mục tiêu: CO2EMISSIONS.</w:t>
      </w:r>
    </w:p>
    <w:p>
      <w:pPr>
        <w:pStyle w:val="ListBullet"/>
        <w:spacing w:after="60" w:line="276" w:lineRule="auto"/>
      </w:pPr>
      <w:r>
        <w:rPr>
          <w:rFonts w:ascii="Calibri" w:hAnsi="Calibri"/>
          <w:sz w:val="23"/>
        </w:rPr>
        <w:t>Biến số: ENGINESIZE, CYLINDERS và các biến FUELCONSUMPTION.</w:t>
      </w:r>
    </w:p>
    <w:p>
      <w:pPr>
        <w:pStyle w:val="ListBullet"/>
        <w:spacing w:after="60" w:line="276" w:lineRule="auto"/>
      </w:pPr>
      <w:r>
        <w:rPr>
          <w:rFonts w:ascii="Calibri" w:hAnsi="Calibri"/>
          <w:sz w:val="23"/>
        </w:rPr>
        <w:t>Biến phân loại: MAKE, VEHICLECLASS, TRANSMISSION, FUELTYPE.</w:t>
      </w:r>
    </w:p>
    <w:p>
      <w:pPr>
        <w:pStyle w:val="ListBullet"/>
        <w:spacing w:after="60" w:line="276" w:lineRule="auto"/>
      </w:pPr>
      <w:r>
        <w:rPr>
          <w:rFonts w:ascii="Calibri" w:hAnsi="Calibri"/>
          <w:sz w:val="23"/>
        </w:rPr>
        <w:t>Các cột MODELYEAR và MODEL được loại bỏ để giảm nhiễu và tránh học theo mã/tên xe.</w:t>
      </w:r>
    </w:p>
    <w:p>
      <w:pPr>
        <w:pStyle w:val="Heading2"/>
      </w:pPr>
      <w:r>
        <w:rPr>
          <w:sz w:val="30"/>
        </w:rPr>
        <w:t>3.2. Bộ dữ liệu Churn</w:t>
      </w:r>
    </w:p>
    <w:p>
      <w:pPr>
        <w:pStyle w:val="ListBullet"/>
        <w:spacing w:after="60" w:line="276" w:lineRule="auto"/>
      </w:pPr>
      <w:r>
        <w:rPr>
          <w:rFonts w:ascii="Calibri" w:hAnsi="Calibri"/>
          <w:sz w:val="23"/>
        </w:rPr>
        <w:t>Biến mục tiêu: Churn, được mã hóa No = 0 và Yes = 1.</w:t>
      </w:r>
    </w:p>
    <w:p>
      <w:pPr>
        <w:pStyle w:val="ListBullet"/>
        <w:spacing w:after="60" w:line="276" w:lineRule="auto"/>
      </w:pPr>
      <w:r>
        <w:rPr>
          <w:rFonts w:ascii="Calibri" w:hAnsi="Calibri"/>
          <w:sz w:val="23"/>
        </w:rPr>
        <w:t>Biến số: tenure, MonthlyCharges, TotalCharges.</w:t>
      </w:r>
    </w:p>
    <w:p>
      <w:pPr>
        <w:pStyle w:val="ListBullet"/>
        <w:spacing w:after="60" w:line="276" w:lineRule="auto"/>
      </w:pPr>
      <w:r>
        <w:rPr>
          <w:rFonts w:ascii="Calibri" w:hAnsi="Calibri"/>
          <w:sz w:val="23"/>
        </w:rPr>
        <w:t>Biến phân loại: contract, payment method, internet service và các dịch vụ bổ sung.</w:t>
      </w:r>
    </w:p>
    <w:p>
      <w:pPr>
        <w:pStyle w:val="ListBullet"/>
        <w:spacing w:after="60" w:line="276" w:lineRule="auto"/>
      </w:pPr>
      <w:r>
        <w:rPr>
          <w:rFonts w:ascii="Calibri" w:hAnsi="Calibri"/>
          <w:sz w:val="23"/>
        </w:rPr>
        <w:t>customerID được loại bỏ vì chỉ là định danh, không mang ý nghĩa dự đoán.</w:t>
      </w:r>
    </w:p>
    <w:p>
      <w:pPr>
        <w:pStyle w:val="Heading1"/>
      </w:pPr>
      <w:r>
        <w:rPr>
          <w:sz w:val="36"/>
        </w:rPr>
        <w:t>4. Pipeline tiền xử lý</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Nhóm biến</w:t>
            </w:r>
          </w:p>
        </w:tc>
        <w:tc>
          <w:tcPr>
            <w:tcW w:type="dxa" w:w="417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Cách xử lý</w:t>
            </w:r>
          </w:p>
        </w:tc>
        <w:tc>
          <w:tcPr>
            <w:tcW w:type="dxa" w:w="417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Lý do</w:t>
            </w:r>
          </w:p>
        </w:tc>
      </w:tr>
      <w:tr>
        <w:tc>
          <w:tcPr>
            <w:tcW w:type="dxa" w:w="201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Numeric</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SimpleImputer(strategy='median') + StandardScaler</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Xử lý thiếu và đưa biến số về cùng thang đo.</w:t>
            </w:r>
          </w:p>
        </w:tc>
      </w:tr>
      <w:tr>
        <w:tc>
          <w:tcPr>
            <w:tcW w:type="dxa" w:w="201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Categorical</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SimpleImputer(strategy='most_frequent') + OneHotEncoder</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Biến nhãn thành vector số để mô hình học được.</w:t>
            </w:r>
          </w:p>
        </w:tc>
      </w:tr>
      <w:tr>
        <w:tc>
          <w:tcPr>
            <w:tcW w:type="dxa" w:w="201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Target CO2</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Giữ nguyên dạng số liên tục</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Phù hợp bài toán hồi quy.</w:t>
            </w:r>
          </w:p>
        </w:tc>
      </w:tr>
      <w:tr>
        <w:tc>
          <w:tcPr>
            <w:tcW w:type="dxa" w:w="201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Target Churn</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Map No/Yes thành 0/1</w:t>
            </w:r>
          </w:p>
        </w:tc>
        <w:tc>
          <w:tcPr>
            <w:tcW w:type="dxa" w:w="41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Phù hợp bài toán phân loại nhị phân.</w:t>
            </w:r>
          </w:p>
        </w:tc>
      </w:tr>
    </w:tbl>
    <w:p/>
    <w:tbl>
      <w:tblPr>
        <w:tblW w:type="auto" w:w="0"/>
        <w:jc w:val="center"/>
        <w:tblLook w:firstColumn="1" w:firstRow="1" w:lastColumn="0" w:lastRow="0" w:noHBand="0" w:noVBand="1" w:val="04A0"/>
      </w:tblPr>
      <w:tblGrid>
        <w:gridCol w:w="10080"/>
      </w:tblGrid>
      <w:tr>
        <w:tc>
          <w:tcPr>
            <w:tcW w:type="dxa" w:w="10080"/>
            <w:shd w:fill="E8F1FA"/>
            <w:tcBorders>
              <w:top w:val="single" w:sz="6" w:space="0" w:color="B7D3EA"/>
              <w:left w:val="single" w:sz="6" w:space="0" w:color="B7D3EA"/>
              <w:bottom w:val="single" w:sz="6" w:space="0" w:color="B7D3EA"/>
              <w:right w:val="single" w:sz="6" w:space="0" w:color="B7D3EA"/>
              <w:insideH w:val="single" w:sz="6" w:space="0" w:color="B7D3EA"/>
              <w:insideV w:val="single" w:sz="6" w:space="0" w:color="B7D3EA"/>
            </w:tcBorders>
          </w:tcPr>
          <w:p>
            <w:r>
              <w:rPr>
                <w:sz w:val="21"/>
              </w:rPr>
            </w:r>
            <w:r>
              <w:rPr>
                <w:rFonts w:ascii="Calibri" w:hAnsi="Calibri"/>
                <w:b/>
                <w:color w:val="1F4D78"/>
                <w:sz w:val="22"/>
              </w:rPr>
              <w:t>Kiểm soát rò rỉ dữ liệu</w:t>
              <w:br/>
            </w:r>
            <w:r>
              <w:rPr>
                <w:rFonts w:ascii="Calibri" w:hAnsi="Calibri"/>
                <w:color w:val="0F172A"/>
                <w:sz w:val="21"/>
              </w:rPr>
              <w:t>Preprocessing được đặt trong scikit-learn Pipeline/ColumnTransformer. Khi cross-validation, các bước imputation, scaling và encoding được fit trên fold train, không fit trước trên toàn bộ dữ liệu.</w:t>
            </w:r>
          </w:p>
        </w:tc>
      </w:tr>
    </w:tbl>
    <w:p/>
    <w:p>
      <w:pPr>
        <w:pStyle w:val="Heading1"/>
      </w:pPr>
      <w:r>
        <w:rPr>
          <w:sz w:val="36"/>
        </w:rPr>
        <w:t>5. Chiến lược mô hình hóa</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29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Bài</w:t>
            </w:r>
          </w:p>
        </w:tc>
        <w:tc>
          <w:tcPr>
            <w:tcW w:type="dxa" w:w="597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Mô hình được so sánh</w:t>
            </w:r>
          </w:p>
        </w:tc>
        <w:tc>
          <w:tcPr>
            <w:tcW w:type="dxa" w:w="316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Tiêu chí chọn</w:t>
            </w:r>
          </w:p>
        </w:tc>
      </w:tr>
      <w:tr>
        <w:tc>
          <w:tcPr>
            <w:tcW w:type="dxa" w:w="129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59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Dummy Regressor, Linear Regression, Random Forest Regressor, Gradient Boosting Regressor</w:t>
            </w:r>
          </w:p>
        </w:tc>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Ưu tiên RMSE thấp, MAE thấp và R2 cao.</w:t>
            </w:r>
          </w:p>
        </w:tc>
      </w:tr>
      <w:tr>
        <w:tc>
          <w:tcPr>
            <w:tcW w:type="dxa" w:w="129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597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Dummy Classifier, Logistic Regression, Random Forest Classifier, Gradient Boosting Classifier</w:t>
            </w:r>
          </w:p>
        </w:tc>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Ưu tiên F1-score, đồng thời theo dõi Precision, Recall và ROC-AUC.</w:t>
            </w:r>
          </w:p>
        </w:tc>
      </w:tr>
    </w:tbl>
    <w:p/>
    <w:p>
      <w:r>
        <w:rPr>
          <w:sz w:val="24"/>
        </w:rPr>
        <w:t>Sau bước so sánh mô hình bằng cross-validation, mô hình tốt nhất được tối ưu thêm bằng RandomizedSearchCV. Riêng bài Churn có thêm bước chọn decision threshold để cân bằng Precision và Recall theo F1-score.</w:t>
      </w:r>
    </w:p>
    <w:p>
      <w:pPr>
        <w:pStyle w:val="Heading1"/>
      </w:pPr>
      <w:r>
        <w:rPr>
          <w:sz w:val="36"/>
        </w:rPr>
        <w:t>6. Chỉ số đánh giá</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656"/>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Metric</w:t>
            </w:r>
          </w:p>
        </w:tc>
        <w:tc>
          <w:tcPr>
            <w:tcW w:type="dxa" w:w="1440"/>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Áp dụng</w:t>
            </w:r>
          </w:p>
        </w:tc>
        <w:tc>
          <w:tcPr>
            <w:tcW w:type="dxa" w:w="7344"/>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Diễn giải</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MAE</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Sai số tuyệt đối trung bình, dễ hiểu theo đơn vị g/km.</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RMSE</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Phạt mạnh các lỗi lớn, phù hợp để kiểm tra dự đoán lệch xa.</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R2</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Tỷ lệ biến thiên của CO2 được mô hình giải thích.</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Accuracy</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Tỷ lệ dự đoán đúng tổng thể.</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Precision</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Trong nhóm dự đoán churn, tỷ lệ thật sự churn.</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Recall</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Trong nhóm thật sự churn, tỷ lệ mô hình phát hiện được.</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F1-score</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Cân bằng Precision và Recall.</w:t>
            </w:r>
          </w:p>
        </w:tc>
      </w:tr>
      <w:tr>
        <w:tc>
          <w:tcPr>
            <w:tcW w:type="dxa" w:w="1656"/>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ROC-AUC</w:t>
            </w:r>
          </w:p>
        </w:tc>
        <w:tc>
          <w:tcPr>
            <w:tcW w:type="dxa" w:w="14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7344"/>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Khả năng phân biệt hai lớp trên nhiều threshold.</w:t>
            </w:r>
          </w:p>
        </w:tc>
      </w:tr>
    </w:tbl>
    <w:p/>
    <w:p>
      <w:pPr>
        <w:pStyle w:val="Heading1"/>
      </w:pPr>
      <w:r>
        <w:rPr>
          <w:sz w:val="36"/>
        </w:rPr>
        <w:t>7. Kết quả chính</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152"/>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Bài</w:t>
            </w:r>
          </w:p>
        </w:tc>
        <w:tc>
          <w:tcPr>
            <w:tcW w:type="dxa" w:w="2160"/>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Mô hình tốt nhất</w:t>
            </w:r>
          </w:p>
        </w:tc>
        <w:tc>
          <w:tcPr>
            <w:tcW w:type="dxa" w:w="3240"/>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Kết quả test</w:t>
            </w:r>
          </w:p>
        </w:tc>
        <w:tc>
          <w:tcPr>
            <w:tcW w:type="dxa" w:w="388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Nhận xét kỹ thuật</w:t>
            </w:r>
          </w:p>
        </w:tc>
      </w:tr>
      <w:tr>
        <w:tc>
          <w:tcPr>
            <w:tcW w:type="dxa" w:w="11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CO2</w:t>
            </w:r>
          </w:p>
        </w:tc>
        <w:tc>
          <w:tcPr>
            <w:tcW w:type="dxa" w:w="216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Linear Regression</w:t>
            </w:r>
          </w:p>
        </w:tc>
        <w:tc>
          <w:tcPr>
            <w:tcW w:type="dxa" w:w="32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MAE ≈ 3.56; RMSE ≈ 5.45; R2 ≈ 0.9921</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Quan hệ giữa CO2 và fuel consumption gần tuyến tính, nên mô hình tuyến tính hoạt động rất tốt.</w:t>
            </w:r>
          </w:p>
        </w:tc>
      </w:tr>
      <w:tr>
        <w:tc>
          <w:tcPr>
            <w:tcW w:type="dxa" w:w="11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Churn</w:t>
            </w:r>
          </w:p>
        </w:tc>
        <w:tc>
          <w:tcPr>
            <w:tcW w:type="dxa" w:w="216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Logistic Regression</w:t>
            </w:r>
          </w:p>
        </w:tc>
        <w:tc>
          <w:tcPr>
            <w:tcW w:type="dxa" w:w="324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Accuracy ≈ 0.7495; F1 ≈ 0.6182; ROC-AUC ≈ 0.8398</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Bài toán lệch lớp nên F1, Recall và ROC-AUC quan trọng hơn Accuracy đơn thuần.</w:t>
            </w:r>
          </w:p>
        </w:tc>
      </w:tr>
    </w:tbl>
    <w:p/>
    <w:p>
      <w:pPr>
        <w:pStyle w:val="Heading1"/>
      </w:pPr>
      <w:r>
        <w:rPr>
          <w:sz w:val="36"/>
        </w:rPr>
        <w:t>8. Sản phẩm đầu ra</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2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Đầu ra</w:t>
            </w:r>
          </w:p>
        </w:tc>
        <w:tc>
          <w:tcPr>
            <w:tcW w:type="dxa" w:w="388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Vị trí</w:t>
            </w:r>
          </w:p>
        </w:tc>
        <w:tc>
          <w:tcPr>
            <w:tcW w:type="dxa" w:w="4752"/>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Nội dung</w:t>
            </w:r>
          </w:p>
        </w:tc>
      </w:tr>
      <w:tr>
        <w:tc>
          <w:tcPr>
            <w:tcW w:type="dxa" w:w="172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Figures</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reports/figures/co2, reports/figures/churn</w:t>
            </w:r>
          </w:p>
        </w:tc>
        <w:tc>
          <w:tcPr>
            <w:tcW w:type="dxa" w:w="47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EDA, model comparison, residual plots, confusion matrix, ROC/PR curves.</w:t>
            </w:r>
          </w:p>
        </w:tc>
      </w:tr>
      <w:tr>
        <w:tc>
          <w:tcPr>
            <w:tcW w:type="dxa" w:w="172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Tables</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reports/tables/co2, reports/tables/churn</w:t>
            </w:r>
          </w:p>
        </w:tc>
        <w:tc>
          <w:tcPr>
            <w:tcW w:type="dxa" w:w="47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cv_results, test_metrics, feature_importance, error_analysis, optimization_comparison.</w:t>
            </w:r>
          </w:p>
        </w:tc>
      </w:tr>
      <w:tr>
        <w:tc>
          <w:tcPr>
            <w:tcW w:type="dxa" w:w="172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Notebooks</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notebooks/co2, notebooks/churn</w:t>
            </w:r>
          </w:p>
        </w:tc>
        <w:tc>
          <w:tcPr>
            <w:tcW w:type="dxa" w:w="47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Báo cáo chạy được trên Jupyter.</w:t>
            </w:r>
          </w:p>
        </w:tc>
      </w:tr>
      <w:tr>
        <w:tc>
          <w:tcPr>
            <w:tcW w:type="dxa" w:w="172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Submissions</w:t>
            </w:r>
          </w:p>
        </w:tc>
        <w:tc>
          <w:tcPr>
            <w:tcW w:type="dxa" w:w="388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submissions/co2, submissions/churn</w:t>
            </w:r>
          </w:p>
        </w:tc>
        <w:tc>
          <w:tcPr>
            <w:tcW w:type="dxa" w:w="4752"/>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Bản nộp tách riêng theo từng bài.</w:t>
            </w:r>
          </w:p>
        </w:tc>
      </w:tr>
    </w:tbl>
    <w:p/>
    <w:p>
      <w:pPr>
        <w:pStyle w:val="Heading1"/>
      </w:pPr>
      <w:r>
        <w:rPr>
          <w:sz w:val="36"/>
        </w:rPr>
        <w:t>9. Cách chạy dự án</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Tác vụ</w:t>
            </w:r>
          </w:p>
        </w:tc>
        <w:tc>
          <w:tcPr>
            <w:tcW w:type="dxa" w:w="7200"/>
            <w:vAlign w:val="top"/>
            <w:shd w:fill="2E74B5"/>
            <w:tcBorders>
              <w:top w:val="single" w:sz="6" w:space="0" w:color="9FBAD3"/>
              <w:left w:val="single" w:sz="6" w:space="0" w:color="9FBAD3"/>
              <w:bottom w:val="single" w:sz="6" w:space="0" w:color="9FBAD3"/>
              <w:right w:val="single" w:sz="6" w:space="0" w:color="9FBAD3"/>
              <w:insideH w:val="single" w:sz="6" w:space="0" w:color="9FBAD3"/>
              <w:insideV w:val="single" w:sz="6" w:space="0" w:color="9FBAD3"/>
            </w:tcBorders>
          </w:tcPr>
          <w:p>
            <w:pPr>
              <w:spacing w:after="0"/>
            </w:pPr>
            <w:r>
              <w:rPr>
                <w:sz w:val="21"/>
              </w:rPr>
            </w:r>
            <w:r>
              <w:rPr>
                <w:rFonts w:ascii="Calibri" w:hAnsi="Calibri" w:eastAsia="Calibri"/>
                <w:b/>
                <w:color w:val="FFFFFF"/>
                <w:sz w:val="22"/>
              </w:rPr>
              <w:t>Lệnh</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Chạy CO2</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python -m ml_coursework.co2</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Chạy Churn</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python -m ml_coursework.churn</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Chạy CO2 và xem biểu đồ</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python -m ml_coursework.co2 --show</w:t>
            </w:r>
          </w:p>
        </w:tc>
      </w:tr>
      <w:tr>
        <w:tc>
          <w:tcPr>
            <w:tcW w:type="dxa" w:w="3168"/>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Chạy Churn và xem biểu đồ</w:t>
            </w:r>
          </w:p>
        </w:tc>
        <w:tc>
          <w:tcPr>
            <w:tcW w:type="dxa" w:w="7200"/>
            <w:vAlign w:val="top"/>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0"/>
            </w:pPr>
            <w:r>
              <w:rPr>
                <w:sz w:val="21"/>
              </w:rPr>
            </w:r>
            <w:r>
              <w:rPr>
                <w:rFonts w:ascii="Calibri" w:hAnsi="Calibri" w:eastAsia="Calibri"/>
                <w:b w:val="0"/>
                <w:color w:val="0F172A"/>
                <w:sz w:val="21"/>
              </w:rPr>
              <w:t>python -m ml_coursework.churn --show</w:t>
            </w:r>
          </w:p>
        </w:tc>
      </w:tr>
    </w:tbl>
    <w:p/>
    <w:p>
      <w:pPr>
        <w:pStyle w:val="Heading1"/>
      </w:pPr>
      <w:r>
        <w:rPr>
          <w:sz w:val="36"/>
        </w:rPr>
        <w:t>10. Ghi chú kỹ thuật</w:t>
      </w:r>
    </w:p>
    <w:p>
      <w:pPr>
        <w:pStyle w:val="ListBullet"/>
        <w:spacing w:after="60" w:line="276" w:lineRule="auto"/>
      </w:pPr>
      <w:r>
        <w:rPr>
          <w:rFonts w:ascii="Calibri" w:hAnsi="Calibri"/>
          <w:sz w:val="23"/>
        </w:rPr>
        <w:t>Dự án sử dụng random_state = 42 để kết quả có thể tái lập.</w:t>
      </w:r>
    </w:p>
    <w:p>
      <w:pPr>
        <w:pStyle w:val="ListBullet"/>
        <w:spacing w:after="60" w:line="276" w:lineRule="auto"/>
      </w:pPr>
      <w:r>
        <w:rPr>
          <w:rFonts w:ascii="Calibri" w:hAnsi="Calibri"/>
          <w:sz w:val="23"/>
        </w:rPr>
        <w:t>Tỷ lệ train/test là 80/20.</w:t>
      </w:r>
    </w:p>
    <w:p>
      <w:pPr>
        <w:pStyle w:val="ListBullet"/>
        <w:spacing w:after="60" w:line="276" w:lineRule="auto"/>
      </w:pPr>
      <w:r>
        <w:rPr>
          <w:rFonts w:ascii="Calibri" w:hAnsi="Calibri"/>
          <w:sz w:val="23"/>
        </w:rPr>
        <w:t>Cross-validation sử dụng 5 folds.</w:t>
      </w:r>
    </w:p>
    <w:p>
      <w:pPr>
        <w:pStyle w:val="ListBullet"/>
        <w:spacing w:after="60" w:line="276" w:lineRule="auto"/>
      </w:pPr>
      <w:r>
        <w:rPr>
          <w:rFonts w:ascii="Calibri" w:hAnsi="Calibri"/>
          <w:sz w:val="23"/>
        </w:rPr>
        <w:t>Các biểu đồ và bảng được ghi ra reports để phục vụ kiểm tra lại kết quả.</w:t>
      </w:r>
    </w:p>
    <w:p>
      <w:pPr>
        <w:pStyle w:val="ListBullet"/>
        <w:spacing w:after="60" w:line="276" w:lineRule="auto"/>
      </w:pPr>
      <w:r>
        <w:rPr>
          <w:rFonts w:ascii="Calibri" w:hAnsi="Calibri"/>
          <w:sz w:val="23"/>
        </w:rPr>
        <w:t>Source code được tách theo chức năng để dễ đọc, dễ chạy và dễ mở rộng.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8"/>
      </w:rPr>
      <w:t>Technical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A49932 - Machine Learning Coursework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