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44309063" w:rsidR="009D23BD" w:rsidRPr="00A61F38" w:rsidRDefault="004C1B2B">
      <w:pPr>
        <w:pStyle w:val="Subtitle"/>
        <w:jc w:val="both"/>
      </w:pPr>
      <w:r w:rsidRPr="00A61F38">
        <w:rPr>
          <w:b/>
          <w:color w:val="FFF200"/>
        </w:rPr>
        <w:t>///</w:t>
      </w:r>
      <w:r w:rsidRPr="00A61F38">
        <w:t xml:space="preserve"> /</w:t>
      </w:r>
      <w:r w:rsidR="00F0387C">
        <w:t>Thematische</w:t>
      </w:r>
      <w:r w:rsidR="00A3508A" w:rsidRPr="00A61F38">
        <w:t xml:space="preserve"> </w:t>
      </w:r>
      <w:r w:rsidR="00005494" w:rsidRPr="00A61F38">
        <w:t>werkgroep</w:t>
      </w:r>
      <w:r w:rsidR="009906F8" w:rsidRPr="00A61F38">
        <w:t xml:space="preserve"> </w:t>
      </w:r>
      <w:r w:rsidR="00CB5141">
        <w:t>2</w:t>
      </w:r>
      <w:bookmarkStart w:id="0" w:name="_GoBack"/>
      <w:bookmarkEnd w:id="0"/>
      <w:r w:rsidR="00F0387C">
        <w:t xml:space="preserve"> </w:t>
      </w:r>
      <w:r w:rsidR="009906F8" w:rsidRPr="00A61F38">
        <w:t>OSLO</w:t>
      </w:r>
      <w:r w:rsidRPr="00A61F38">
        <w:t xml:space="preserve"> </w:t>
      </w:r>
      <w:r w:rsidR="009906F8" w:rsidRPr="00A61F38">
        <w:t>Percelen</w:t>
      </w:r>
      <w:r w:rsidRPr="00A61F38">
        <w:t>/</w:t>
      </w:r>
    </w:p>
    <w:p w14:paraId="143EA244" w14:textId="77777777" w:rsidR="009D23BD" w:rsidRDefault="004C1B2B">
      <w:pPr>
        <w:jc w:val="both"/>
      </w:pPr>
      <w:r>
        <w:rPr>
          <w:b/>
          <w:color w:val="FFF200"/>
        </w:rPr>
        <w:t>////////////////////////////////////////////////////////////////////////////////////////////////////////</w:t>
      </w:r>
    </w:p>
    <w:p w14:paraId="49F26F5C" w14:textId="234BC917" w:rsidR="009D23BD" w:rsidRDefault="5303794B">
      <w:pPr>
        <w:jc w:val="both"/>
      </w:pPr>
      <w:r w:rsidRPr="5303794B">
        <w:rPr>
          <w:b/>
          <w:bCs/>
        </w:rPr>
        <w:t>Datum</w:t>
      </w:r>
      <w:r>
        <w:t xml:space="preserve">: </w:t>
      </w:r>
      <w:r w:rsidR="00F0387C">
        <w:t>06/05</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4332AEEA" w:rsidR="005C388B" w:rsidRPr="001C14F1" w:rsidRDefault="00151CAA" w:rsidP="00C10499">
            <w:pPr>
              <w:jc w:val="both"/>
              <w:rPr>
                <w:b w:val="0"/>
                <w:color w:val="000000"/>
              </w:rPr>
            </w:pPr>
            <w:r>
              <w:rPr>
                <w:b w:val="0"/>
                <w:color w:val="000000"/>
              </w:rPr>
              <w:t>Dirk De Baere</w:t>
            </w:r>
          </w:p>
        </w:tc>
        <w:tc>
          <w:tcPr>
            <w:tcW w:w="6758" w:type="dxa"/>
          </w:tcPr>
          <w:p w14:paraId="2273F9F5" w14:textId="095A04E4" w:rsidR="005C388B" w:rsidRPr="001C14F1" w:rsidRDefault="00151CAA" w:rsidP="001C14F1">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Informatie Vlaanderen</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22FFBD63" w:rsidR="005C388B" w:rsidRPr="00C10499" w:rsidRDefault="00151CAA" w:rsidP="00C10499">
            <w:pPr>
              <w:jc w:val="both"/>
              <w:rPr>
                <w:b w:val="0"/>
              </w:rPr>
            </w:pPr>
            <w:r>
              <w:rPr>
                <w:b w:val="0"/>
              </w:rPr>
              <w:t>Koen De Baets</w:t>
            </w:r>
          </w:p>
        </w:tc>
        <w:tc>
          <w:tcPr>
            <w:tcW w:w="6758" w:type="dxa"/>
          </w:tcPr>
          <w:p w14:paraId="5A8A1F3B" w14:textId="578E336B"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2249AC99" w:rsidR="005C388B" w:rsidRPr="00C10499" w:rsidRDefault="00151CAA" w:rsidP="00C10499">
            <w:pPr>
              <w:jc w:val="both"/>
              <w:rPr>
                <w:b w:val="0"/>
              </w:rPr>
            </w:pPr>
            <w:r>
              <w:rPr>
                <w:b w:val="0"/>
              </w:rPr>
              <w:t>Bart Bollen</w:t>
            </w:r>
          </w:p>
        </w:tc>
        <w:tc>
          <w:tcPr>
            <w:tcW w:w="6758" w:type="dxa"/>
          </w:tcPr>
          <w:p w14:paraId="355D39B5" w14:textId="61AA04FD" w:rsidR="005C388B" w:rsidRDefault="00151CAA" w:rsidP="005C388B">
            <w:pPr>
              <w:jc w:val="right"/>
              <w:cnfStyle w:val="000000000000" w:firstRow="0" w:lastRow="0" w:firstColumn="0" w:lastColumn="0" w:oddVBand="0" w:evenVBand="0" w:oddHBand="0" w:evenHBand="0" w:firstRowFirstColumn="0" w:firstRowLastColumn="0" w:lastRowFirstColumn="0" w:lastRowLastColumn="0"/>
            </w:pPr>
            <w:r>
              <w:t>Departement Landbouw en Visserij</w:t>
            </w:r>
          </w:p>
        </w:tc>
      </w:tr>
      <w:tr w:rsidR="005C388B" w14:paraId="653E1BF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483889" w14:textId="38180C1F" w:rsidR="005C388B" w:rsidRPr="00C10499" w:rsidRDefault="00151CAA" w:rsidP="00C10499">
            <w:pPr>
              <w:jc w:val="both"/>
              <w:rPr>
                <w:b w:val="0"/>
              </w:rPr>
            </w:pPr>
            <w:r>
              <w:rPr>
                <w:b w:val="0"/>
              </w:rPr>
              <w:t>Joris Niessen</w:t>
            </w:r>
          </w:p>
        </w:tc>
        <w:tc>
          <w:tcPr>
            <w:tcW w:w="6758" w:type="dxa"/>
          </w:tcPr>
          <w:p w14:paraId="7E498346" w14:textId="30B7C202"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Departement Omgeving</w:t>
            </w:r>
          </w:p>
        </w:tc>
      </w:tr>
      <w:tr w:rsidR="005C388B" w14:paraId="55A6F571"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AC426DB" w14:textId="68889264" w:rsidR="005C388B" w:rsidRPr="00C10499" w:rsidRDefault="00151CAA" w:rsidP="00C10499">
            <w:pPr>
              <w:jc w:val="both"/>
              <w:rPr>
                <w:b w:val="0"/>
              </w:rPr>
            </w:pPr>
            <w:r>
              <w:rPr>
                <w:b w:val="0"/>
              </w:rPr>
              <w:t>Bart De Bruyn</w:t>
            </w:r>
          </w:p>
        </w:tc>
        <w:tc>
          <w:tcPr>
            <w:tcW w:w="6758" w:type="dxa"/>
          </w:tcPr>
          <w:p w14:paraId="6BAFE311" w14:textId="3EC3A466" w:rsidR="005C388B" w:rsidRDefault="00151CAA" w:rsidP="005C388B">
            <w:pPr>
              <w:jc w:val="right"/>
              <w:cnfStyle w:val="000000000000" w:firstRow="0" w:lastRow="0" w:firstColumn="0" w:lastColumn="0" w:oddVBand="0" w:evenVBand="0" w:oddHBand="0" w:evenHBand="0" w:firstRowFirstColumn="0" w:firstRowLastColumn="0" w:lastRowFirstColumn="0" w:lastRowLastColumn="0"/>
            </w:pPr>
            <w:r>
              <w:t>Vlaamse Landmaatschappij</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32DC7A78" w:rsidR="005C388B" w:rsidRPr="00C10499" w:rsidRDefault="00151CAA" w:rsidP="00C10499">
            <w:pPr>
              <w:jc w:val="both"/>
              <w:rPr>
                <w:b w:val="0"/>
              </w:rPr>
            </w:pPr>
            <w:r>
              <w:rPr>
                <w:b w:val="0"/>
              </w:rPr>
              <w:t>Hendrik Van Hemelryck</w:t>
            </w:r>
          </w:p>
        </w:tc>
        <w:tc>
          <w:tcPr>
            <w:tcW w:w="6758" w:type="dxa"/>
          </w:tcPr>
          <w:p w14:paraId="5ADB38AC" w14:textId="6FB976CF"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52D4EA91" w:rsidR="005C388B" w:rsidRPr="00C10499" w:rsidRDefault="00151CAA" w:rsidP="00C10499">
            <w:pPr>
              <w:jc w:val="both"/>
              <w:rPr>
                <w:b w:val="0"/>
              </w:rPr>
            </w:pPr>
            <w:r>
              <w:rPr>
                <w:b w:val="0"/>
              </w:rPr>
              <w:t>Joke De Wit</w:t>
            </w:r>
          </w:p>
        </w:tc>
        <w:tc>
          <w:tcPr>
            <w:tcW w:w="6758" w:type="dxa"/>
          </w:tcPr>
          <w:p w14:paraId="12B1EAAB" w14:textId="38856A98" w:rsidR="005C388B" w:rsidRDefault="00151CAA" w:rsidP="005C388B">
            <w:pPr>
              <w:jc w:val="right"/>
              <w:cnfStyle w:val="000000000000" w:firstRow="0" w:lastRow="0" w:firstColumn="0" w:lastColumn="0" w:oddVBand="0" w:evenVBand="0" w:oddHBand="0" w:evenHBand="0" w:firstRowFirstColumn="0" w:firstRowLastColumn="0" w:lastRowFirstColumn="0" w:lastRowLastColumn="0"/>
            </w:pPr>
            <w:r>
              <w:t>AAPD</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28C9734B" w:rsidR="005C388B" w:rsidRPr="00C10499" w:rsidRDefault="00151CAA" w:rsidP="00C10499">
            <w:pPr>
              <w:jc w:val="both"/>
              <w:rPr>
                <w:b w:val="0"/>
              </w:rPr>
            </w:pPr>
            <w:r>
              <w:rPr>
                <w:b w:val="0"/>
              </w:rPr>
              <w:t>Hilde Blondeel</w:t>
            </w:r>
          </w:p>
        </w:tc>
        <w:tc>
          <w:tcPr>
            <w:tcW w:w="6758" w:type="dxa"/>
          </w:tcPr>
          <w:p w14:paraId="3AC25343" w14:textId="05D8F908"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AAPD</w:t>
            </w:r>
          </w:p>
        </w:tc>
      </w:tr>
      <w:tr w:rsidR="005C388B" w14:paraId="034C181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093937C" w14:textId="267711FD" w:rsidR="005C388B" w:rsidRPr="00C10499" w:rsidRDefault="00151CAA" w:rsidP="00C10499">
            <w:pPr>
              <w:jc w:val="both"/>
              <w:rPr>
                <w:b w:val="0"/>
              </w:rPr>
            </w:pPr>
            <w:r>
              <w:rPr>
                <w:b w:val="0"/>
              </w:rPr>
              <w:t>Maxime Heyndrickx</w:t>
            </w:r>
          </w:p>
        </w:tc>
        <w:tc>
          <w:tcPr>
            <w:tcW w:w="6758" w:type="dxa"/>
          </w:tcPr>
          <w:p w14:paraId="28BA0485" w14:textId="7B199B0D" w:rsidR="005C388B" w:rsidRDefault="00151CAA" w:rsidP="005C388B">
            <w:pPr>
              <w:jc w:val="right"/>
              <w:cnfStyle w:val="000000000000" w:firstRow="0" w:lastRow="0" w:firstColumn="0" w:lastColumn="0" w:oddVBand="0" w:evenVBand="0" w:oddHBand="0" w:evenHBand="0" w:firstRowFirstColumn="0" w:firstRowLastColumn="0" w:lastRowFirstColumn="0" w:lastRowLastColumn="0"/>
            </w:pPr>
            <w:r>
              <w:t>CSPI</w:t>
            </w:r>
          </w:p>
        </w:tc>
      </w:tr>
      <w:tr w:rsidR="005C388B" w14:paraId="2DAE108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14FF175" w14:textId="6C860D31" w:rsidR="005C388B" w:rsidRPr="005B06B1" w:rsidRDefault="00151CAA" w:rsidP="00C10499">
            <w:pPr>
              <w:jc w:val="both"/>
              <w:rPr>
                <w:b w:val="0"/>
              </w:rPr>
            </w:pPr>
            <w:r>
              <w:rPr>
                <w:b w:val="0"/>
              </w:rPr>
              <w:t>Iris Deliever</w:t>
            </w:r>
          </w:p>
        </w:tc>
        <w:tc>
          <w:tcPr>
            <w:tcW w:w="6758" w:type="dxa"/>
          </w:tcPr>
          <w:p w14:paraId="5BD24BAD" w14:textId="27E74553"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Provinciale Ontwikkelingsmaatschappij Vlaams-Brabant</w:t>
            </w:r>
          </w:p>
        </w:tc>
      </w:tr>
      <w:tr w:rsidR="00E86BE1" w14:paraId="383B562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34B55C0" w14:textId="37CC144B" w:rsidR="00E86BE1" w:rsidRPr="00E86BE1" w:rsidRDefault="00151CAA" w:rsidP="00C10499">
            <w:pPr>
              <w:jc w:val="both"/>
              <w:rPr>
                <w:b w:val="0"/>
              </w:rPr>
            </w:pPr>
            <w:r>
              <w:rPr>
                <w:b w:val="0"/>
              </w:rPr>
              <w:t>Pascal De Greve</w:t>
            </w:r>
          </w:p>
        </w:tc>
        <w:tc>
          <w:tcPr>
            <w:tcW w:w="6758" w:type="dxa"/>
          </w:tcPr>
          <w:p w14:paraId="2C259113" w14:textId="7A29DF27" w:rsidR="00E86BE1" w:rsidRDefault="00151CAA"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r w:rsidR="005C388B" w14:paraId="28DA6DD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EC66D9F" w14:textId="1543FAE6" w:rsidR="005C388B" w:rsidRPr="005B06B1" w:rsidRDefault="00151CAA" w:rsidP="00C10499">
            <w:pPr>
              <w:jc w:val="both"/>
              <w:rPr>
                <w:b w:val="0"/>
              </w:rPr>
            </w:pPr>
            <w:r>
              <w:rPr>
                <w:b w:val="0"/>
              </w:rPr>
              <w:t>Bart Boute</w:t>
            </w:r>
          </w:p>
        </w:tc>
        <w:tc>
          <w:tcPr>
            <w:tcW w:w="6758" w:type="dxa"/>
          </w:tcPr>
          <w:p w14:paraId="25076C82" w14:textId="00324605"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WVI - VLINTER</w:t>
            </w:r>
          </w:p>
        </w:tc>
      </w:tr>
      <w:tr w:rsidR="005C388B" w14:paraId="3704226D"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3D33045E" w14:textId="5837FEF0" w:rsidR="005C388B" w:rsidRPr="008D3860" w:rsidRDefault="00151CAA" w:rsidP="00C10499">
            <w:pPr>
              <w:jc w:val="both"/>
              <w:rPr>
                <w:b w:val="0"/>
              </w:rPr>
            </w:pPr>
            <w:r>
              <w:rPr>
                <w:b w:val="0"/>
              </w:rPr>
              <w:t>Diedrik Gaus</w:t>
            </w:r>
          </w:p>
        </w:tc>
        <w:tc>
          <w:tcPr>
            <w:tcW w:w="6758" w:type="dxa"/>
          </w:tcPr>
          <w:p w14:paraId="26D0E594" w14:textId="18B45A7F" w:rsidR="005C388B" w:rsidRDefault="00151CAA" w:rsidP="005C388B">
            <w:pPr>
              <w:jc w:val="right"/>
              <w:cnfStyle w:val="000000000000" w:firstRow="0" w:lastRow="0" w:firstColumn="0" w:lastColumn="0" w:oddVBand="0" w:evenVBand="0" w:oddHBand="0" w:evenHBand="0" w:firstRowFirstColumn="0" w:firstRowLastColumn="0" w:lastRowFirstColumn="0" w:lastRowLastColumn="0"/>
            </w:pPr>
            <w:r>
              <w:t>Stad Gent – Data &amp; Informatie</w:t>
            </w:r>
          </w:p>
        </w:tc>
      </w:tr>
      <w:tr w:rsidR="005C388B" w14:paraId="18427A68"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D59375" w14:textId="18E8D8F8" w:rsidR="005C388B" w:rsidRPr="00C10499" w:rsidRDefault="001C14F1" w:rsidP="00C10499">
            <w:pPr>
              <w:jc w:val="both"/>
              <w:rPr>
                <w:b w:val="0"/>
              </w:rPr>
            </w:pPr>
            <w:r>
              <w:rPr>
                <w:b w:val="0"/>
              </w:rPr>
              <w:t>Michiel De Keyzer</w:t>
            </w:r>
          </w:p>
        </w:tc>
        <w:tc>
          <w:tcPr>
            <w:tcW w:w="6758" w:type="dxa"/>
          </w:tcPr>
          <w:p w14:paraId="3D238F6F" w14:textId="7FA0F7D6"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1C14F1" w14:paraId="0F7D4CB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1C14F1" w:rsidRDefault="001C14F1" w:rsidP="00C10499">
            <w:pPr>
              <w:jc w:val="both"/>
              <w:rPr>
                <w:b w:val="0"/>
              </w:rPr>
            </w:pPr>
            <w:r>
              <w:rPr>
                <w:b w:val="0"/>
              </w:rPr>
              <w:t>Kevin Haleydt</w:t>
            </w:r>
          </w:p>
        </w:tc>
        <w:tc>
          <w:tcPr>
            <w:tcW w:w="6758" w:type="dxa"/>
          </w:tcPr>
          <w:p w14:paraId="692D720D" w14:textId="70083E98" w:rsidR="001C14F1"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lastRenderedPageBreak/>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1" w:name="_gjdgxs" w:colFirst="0" w:colLast="0"/>
      <w:bookmarkEnd w:id="1"/>
      <w:r>
        <w:t>Doelstelling</w:t>
      </w:r>
    </w:p>
    <w:p w14:paraId="32C06B47" w14:textId="5FFEF4B0" w:rsidR="00065C54" w:rsidRDefault="00065C54" w:rsidP="002C7DCB">
      <w:pPr>
        <w:jc w:val="both"/>
      </w:pPr>
      <w:r>
        <w:t>In de tweede thematische w</w:t>
      </w:r>
      <w:r w:rsidR="000C132E">
        <w:t>erkgroep van OSLO Percelen werd</w:t>
      </w:r>
      <w:r>
        <w:t xml:space="preserve"> </w:t>
      </w:r>
      <w:r w:rsidR="00933309">
        <w:t xml:space="preserve">de </w:t>
      </w:r>
      <w:r>
        <w:t xml:space="preserve">inhoudelijke discussie verder gevoerd. </w:t>
      </w:r>
      <w:r w:rsidR="00F9560D">
        <w:t xml:space="preserve">De high-level entiteiten die zullen verwerkt worden in het model werden afgeklopt en een </w:t>
      </w:r>
      <w:r w:rsidR="00933309">
        <w:t>eerste set van definities werd voorgesteld</w:t>
      </w:r>
      <w:r w:rsidR="00F9560D">
        <w:t>.</w:t>
      </w:r>
      <w:r w:rsidR="00933309">
        <w:t xml:space="preserve"> Dit verslag geeft een overzicht van wat er besproken is tijdens de werkgroepvergadering.</w:t>
      </w:r>
      <w:r w:rsidR="00F9560D">
        <w:t xml:space="preserve"> </w:t>
      </w:r>
    </w:p>
    <w:p w14:paraId="5F59FF39" w14:textId="40369C02" w:rsidR="009D23BD" w:rsidRDefault="004C1B2B">
      <w:pPr>
        <w:pStyle w:val="Heading1"/>
        <w:numPr>
          <w:ilvl w:val="0"/>
          <w:numId w:val="5"/>
        </w:numPr>
        <w:ind w:hanging="432"/>
        <w:jc w:val="both"/>
      </w:pPr>
      <w:r>
        <w:t>Verloop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0AD24D79" w14:textId="095DBE5B" w:rsidR="00C81315" w:rsidRPr="00C81315" w:rsidRDefault="00F9560D"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Toelichting Use case Akteperceel</w:t>
      </w:r>
    </w:p>
    <w:p w14:paraId="40F2DF38" w14:textId="5FA1CFDE" w:rsidR="00C81315" w:rsidRPr="00C81315" w:rsidRDefault="00151CAA"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Terugblik eerste thematische werkgroep</w:t>
      </w:r>
    </w:p>
    <w:p w14:paraId="406A2D07" w14:textId="1BEB87A2" w:rsidR="00C81315" w:rsidRDefault="00151CAA"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Update Sneuvelmodel</w:t>
      </w:r>
    </w:p>
    <w:p w14:paraId="35BF17D6" w14:textId="6B65033D" w:rsidR="00151CAA" w:rsidRDefault="00151CAA"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Definities</w:t>
      </w:r>
    </w:p>
    <w:p w14:paraId="1611A958" w14:textId="457F08B8" w:rsidR="00F9560D" w:rsidRPr="00C81315" w:rsidRDefault="00F9560D"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Information, Decision &amp; Acties</w:t>
      </w:r>
    </w:p>
    <w:p w14:paraId="0A0BC7B4" w14:textId="280EC511" w:rsidR="007608B3" w:rsidRDefault="007608B3" w:rsidP="007608B3">
      <w:pPr>
        <w:pStyle w:val="Quote"/>
        <w:ind w:left="0"/>
        <w:jc w:val="left"/>
        <w:rPr>
          <w:b/>
        </w:rPr>
      </w:pPr>
      <w:r>
        <w:rPr>
          <w:b/>
        </w:rPr>
        <w:t xml:space="preserve">2.1. </w:t>
      </w:r>
      <w:r w:rsidR="00F9560D">
        <w:rPr>
          <w:b/>
        </w:rPr>
        <w:t>Use case: Akteperceel</w:t>
      </w:r>
    </w:p>
    <w:p w14:paraId="649F07F0" w14:textId="4D499FC4" w:rsidR="00C81315" w:rsidRDefault="00CB5FBB" w:rsidP="00C81315">
      <w:pPr>
        <w:pBdr>
          <w:top w:val="nil"/>
          <w:left w:val="nil"/>
          <w:bottom w:val="nil"/>
          <w:right w:val="nil"/>
          <w:between w:val="nil"/>
        </w:pBdr>
        <w:spacing w:before="0" w:after="0" w:line="259" w:lineRule="auto"/>
        <w:contextualSpacing/>
        <w:jc w:val="both"/>
        <w:rPr>
          <w:color w:val="000000" w:themeColor="text1"/>
        </w:rPr>
      </w:pPr>
      <w:r>
        <w:rPr>
          <w:color w:val="000000" w:themeColor="text1"/>
        </w:rPr>
        <w:t xml:space="preserve">Deze use case werd toegelicht door </w:t>
      </w:r>
      <w:r w:rsidR="00DC435E">
        <w:rPr>
          <w:color w:val="000000" w:themeColor="text1"/>
        </w:rPr>
        <w:t>VLINTER (Interleuven)</w:t>
      </w:r>
      <w:r>
        <w:rPr>
          <w:color w:val="000000" w:themeColor="text1"/>
        </w:rPr>
        <w:t xml:space="preserve"> en is reeds opgenomen in het verslag van de eerste thematische werkgroep. De slides van deze toelichting kan men terugvinden in de presentatie van de </w:t>
      </w:r>
      <w:hyperlink r:id="rId16" w:history="1">
        <w:r w:rsidRPr="00CB5FBB">
          <w:rPr>
            <w:rStyle w:val="Hyperlink"/>
          </w:rPr>
          <w:t>tweede thematische werkgroep</w:t>
        </w:r>
      </w:hyperlink>
      <w:r>
        <w:rPr>
          <w:color w:val="000000" w:themeColor="text1"/>
        </w:rPr>
        <w:t>.</w:t>
      </w:r>
    </w:p>
    <w:p w14:paraId="0753105D" w14:textId="7FAAF2D3" w:rsidR="00E86BE1" w:rsidRDefault="4EDE2781" w:rsidP="4EDE2781">
      <w:pPr>
        <w:pStyle w:val="Quote"/>
        <w:ind w:left="0"/>
        <w:jc w:val="left"/>
        <w:rPr>
          <w:b/>
          <w:bCs/>
        </w:rPr>
      </w:pPr>
      <w:r w:rsidRPr="4EDE2781">
        <w:rPr>
          <w:b/>
          <w:bCs/>
        </w:rPr>
        <w:t>2.2. Terugblik eerste thematische werkgroep</w:t>
      </w:r>
    </w:p>
    <w:p w14:paraId="2F225677" w14:textId="0FCB1D77" w:rsidR="00E86BE1" w:rsidRDefault="00CB5FBB" w:rsidP="00CB5FBB">
      <w:pPr>
        <w:jc w:val="both"/>
      </w:pPr>
      <w:r>
        <w:t xml:space="preserve">In de eerste thematische werkgroep werd </w:t>
      </w:r>
      <w:r w:rsidR="00DC435E">
        <w:t>een eerste</w:t>
      </w:r>
      <w:r>
        <w:t xml:space="preserve"> sneuvelmodel voorgesteld en werd de feedback van de werkgroep gecapteerd. Op basis van deze feedback werd in </w:t>
      </w:r>
      <w:r w:rsidR="00476ACF">
        <w:t>de</w:t>
      </w:r>
      <w:r>
        <w:t xml:space="preserve"> werkgroep een herwerkte versie voorgesteld.</w:t>
      </w:r>
    </w:p>
    <w:p w14:paraId="47EE9459" w14:textId="27E36988" w:rsidR="0080768F" w:rsidRDefault="4EDE2781" w:rsidP="00CB5FBB">
      <w:pPr>
        <w:jc w:val="both"/>
      </w:pPr>
      <w:r>
        <w:t xml:space="preserve">De voornaamste feedback die gegeven werd, was dat het sneuvelmodel moeilijk te interpreteren was door het gebrek aan definities, in het bijzonder de definitie van het centrale element ‘Perceel’. Daarnaast werd eveneens aangegeven dat bepaalde entiteiten moesten toegevoegd worden zoals Zakelijk Recht, Toegankelijkheid en granulariteit of nauwkeurigheid. </w:t>
      </w:r>
      <w:r w:rsidR="00CB5141">
        <w:t>Verder werd de feedback die gegeven werd tussen de werkgroepvergadering verwerkt in de respectievelijke verslagen.</w:t>
      </w:r>
    </w:p>
    <w:p w14:paraId="61A03E65" w14:textId="77777777" w:rsidR="0080768F" w:rsidRDefault="0080768F">
      <w:r>
        <w:br w:type="page"/>
      </w:r>
    </w:p>
    <w:p w14:paraId="39080109" w14:textId="4844398D" w:rsidR="00CB5FBB" w:rsidRPr="0080768F" w:rsidRDefault="00CB5FBB" w:rsidP="00CB5FBB">
      <w:pPr>
        <w:pStyle w:val="Quote"/>
        <w:ind w:left="0"/>
        <w:jc w:val="left"/>
        <w:rPr>
          <w:b/>
        </w:rPr>
      </w:pPr>
      <w:r w:rsidRPr="0080768F">
        <w:rPr>
          <w:b/>
        </w:rPr>
        <w:lastRenderedPageBreak/>
        <w:t>2.3. Update sneuvelmodel</w:t>
      </w:r>
    </w:p>
    <w:p w14:paraId="50668126" w14:textId="01DCF298" w:rsidR="0080768F" w:rsidRDefault="0080768F" w:rsidP="00E86BE1">
      <w:pPr>
        <w:rPr>
          <w:i/>
          <w:u w:val="single"/>
        </w:rPr>
      </w:pPr>
      <w:r>
        <w:rPr>
          <w:i/>
          <w:u w:val="single"/>
        </w:rPr>
        <w:t>Entiteit ‘Perceel’</w:t>
      </w:r>
    </w:p>
    <w:p w14:paraId="1453722F" w14:textId="79DA02BE" w:rsidR="0080768F" w:rsidRPr="0080768F" w:rsidRDefault="0080768F" w:rsidP="00E73B03">
      <w:pPr>
        <w:jc w:val="both"/>
      </w:pPr>
      <w:r>
        <w:t>Zoals eerder vermeld</w:t>
      </w:r>
      <w:r w:rsidR="00476ACF">
        <w:t>,</w:t>
      </w:r>
      <w:r>
        <w:t xml:space="preserve"> leidde </w:t>
      </w:r>
      <w:r w:rsidR="00476ACF">
        <w:t>de term ‘Perceel’</w:t>
      </w:r>
      <w:r>
        <w:t xml:space="preserve"> tot verwarring voor de interpretatie van h</w:t>
      </w:r>
      <w:r w:rsidR="00933309">
        <w:t>et model. Daarom zijn we</w:t>
      </w:r>
      <w:r>
        <w:t xml:space="preserve"> op zoek gegaan naar een betere omschrijv</w:t>
      </w:r>
      <w:r w:rsidR="00933309">
        <w:t>ende term</w:t>
      </w:r>
      <w:r>
        <w:t xml:space="preserve"> én definitie. Uit onderzoek van de verschillende voorgestelde bestaande standaarden, kwamen we terecht bij Land Administration Domain Model</w:t>
      </w:r>
      <w:r>
        <w:rPr>
          <w:rStyle w:val="FootnoteReference"/>
        </w:rPr>
        <w:footnoteReference w:id="1"/>
      </w:r>
      <w:r>
        <w:t xml:space="preserve">. Dit is een model dat opgesteld werd onder leiding van de International Federation of Surveyors (FIG) en is een ISO-norm sinds 2012. Daarnaast is dit model eveneens compatibel met </w:t>
      </w:r>
      <w:hyperlink r:id="rId17" w:history="1">
        <w:r w:rsidRPr="0080768F">
          <w:rPr>
            <w:rStyle w:val="Hyperlink"/>
          </w:rPr>
          <w:t>INSPIRE Cadastral Parcel</w:t>
        </w:r>
      </w:hyperlink>
      <w:r>
        <w:t xml:space="preserve"> zoals aangegeven in Annex G van de standaard. </w:t>
      </w:r>
    </w:p>
    <w:p w14:paraId="62A44E00" w14:textId="19DE964F" w:rsidR="004B6179" w:rsidRDefault="0080768F" w:rsidP="00E73B03">
      <w:pPr>
        <w:jc w:val="both"/>
      </w:pPr>
      <w:r>
        <w:t xml:space="preserve">Dit model is opgedeeld in 5 basispakketten van entiteiten (Parties, </w:t>
      </w:r>
      <w:r w:rsidR="00E73B03">
        <w:t>Rights Responsibilities &amp; Restrictions, Spatial Units, Spatial Sources &amp; Spatial Representation). In dit model spreekt men voor de geografische voorstelling van een ‘Perceel’ over een ‘Spatial Unit’ of ‘Ruimtelijke eenheid’. Dit omschrijven ze als:</w:t>
      </w:r>
    </w:p>
    <w:p w14:paraId="0B3910A5" w14:textId="38AB01F0" w:rsidR="00E73B03" w:rsidRDefault="00E73B03" w:rsidP="00991D2D">
      <w:pPr>
        <w:spacing w:before="120" w:after="240"/>
        <w:jc w:val="center"/>
        <w:rPr>
          <w:i/>
        </w:rPr>
      </w:pPr>
      <w:r w:rsidRPr="00E73B03">
        <w:rPr>
          <w:i/>
        </w:rPr>
        <w:t>“Eén gebied (of meerdere gebieden) van land en/of water, of één enkel volume (of meerdere volumes) ruimte”</w:t>
      </w:r>
    </w:p>
    <w:p w14:paraId="5EAE0504" w14:textId="7E918A23" w:rsidR="00E73B03" w:rsidRDefault="00E73B03" w:rsidP="00D058EF">
      <w:pPr>
        <w:pBdr>
          <w:top w:val="nil"/>
          <w:left w:val="nil"/>
          <w:bottom w:val="nil"/>
          <w:right w:val="nil"/>
          <w:between w:val="nil"/>
        </w:pBdr>
        <w:spacing w:before="0" w:after="0" w:line="259" w:lineRule="auto"/>
        <w:contextualSpacing/>
        <w:jc w:val="both"/>
      </w:pPr>
      <w:r>
        <w:t>Het gebruik  van dergelijke brede definities heeft verschillende voordelen:</w:t>
      </w:r>
    </w:p>
    <w:p w14:paraId="6C72B353" w14:textId="4443DD0A" w:rsidR="00E73B03" w:rsidRDefault="00E73B03" w:rsidP="00E73B03">
      <w:pPr>
        <w:pStyle w:val="ListParagraph"/>
        <w:numPr>
          <w:ilvl w:val="0"/>
          <w:numId w:val="16"/>
        </w:numPr>
        <w:pBdr>
          <w:top w:val="nil"/>
          <w:left w:val="nil"/>
          <w:bottom w:val="nil"/>
          <w:right w:val="nil"/>
          <w:between w:val="nil"/>
        </w:pBdr>
        <w:spacing w:before="0" w:after="0" w:line="259" w:lineRule="auto"/>
        <w:rPr>
          <w:color w:val="000000"/>
        </w:rPr>
      </w:pPr>
      <w:r>
        <w:rPr>
          <w:color w:val="000000"/>
        </w:rPr>
        <w:t>Ontkoppeling van de term ‘Perceel’</w:t>
      </w:r>
      <w:r w:rsidR="00991D2D">
        <w:rPr>
          <w:color w:val="000000"/>
        </w:rPr>
        <w:t xml:space="preserve">. Volgens </w:t>
      </w:r>
      <w:r w:rsidR="00C5743B">
        <w:rPr>
          <w:color w:val="000000"/>
        </w:rPr>
        <w:t>AAPD</w:t>
      </w:r>
      <w:r w:rsidR="00991D2D">
        <w:rPr>
          <w:color w:val="000000"/>
        </w:rPr>
        <w:t xml:space="preserve"> impliceert deze term namelijk eigendom.</w:t>
      </w:r>
    </w:p>
    <w:p w14:paraId="59C42DE3" w14:textId="10D22E45" w:rsidR="004B6179" w:rsidRDefault="00E73B03" w:rsidP="00991D2D">
      <w:pPr>
        <w:pStyle w:val="ListParagraph"/>
        <w:numPr>
          <w:ilvl w:val="0"/>
          <w:numId w:val="16"/>
        </w:numPr>
        <w:pBdr>
          <w:top w:val="nil"/>
          <w:left w:val="nil"/>
          <w:bottom w:val="nil"/>
          <w:right w:val="nil"/>
          <w:between w:val="nil"/>
        </w:pBdr>
        <w:spacing w:before="0" w:after="0" w:line="259" w:lineRule="auto"/>
        <w:rPr>
          <w:color w:val="000000"/>
        </w:rPr>
      </w:pPr>
      <w:r>
        <w:rPr>
          <w:color w:val="000000"/>
        </w:rPr>
        <w:t xml:space="preserve">Brede definitie die ons in staat stelt om zaken als vervuiling, openbaar domein </w:t>
      </w:r>
      <w:r w:rsidR="00991D2D">
        <w:rPr>
          <w:color w:val="000000"/>
        </w:rPr>
        <w:t>mee te nemen in het model.</w:t>
      </w:r>
    </w:p>
    <w:p w14:paraId="68AFB841" w14:textId="3D1EB089" w:rsidR="00991D2D" w:rsidRDefault="00991D2D" w:rsidP="00991D2D">
      <w:pPr>
        <w:pBdr>
          <w:top w:val="nil"/>
          <w:left w:val="nil"/>
          <w:bottom w:val="nil"/>
          <w:right w:val="nil"/>
          <w:between w:val="nil"/>
        </w:pBdr>
        <w:spacing w:before="0" w:after="0" w:line="259" w:lineRule="auto"/>
        <w:rPr>
          <w:color w:val="000000"/>
        </w:rPr>
      </w:pPr>
      <w:r>
        <w:rPr>
          <w:color w:val="000000"/>
        </w:rPr>
        <w:t>Er valt op te merken dat er binnen de werkgroep steeds wordt gesproken over ‘oppervlakte’. Het valt dus te bekijken of de volledige definitie zal overgenomen worden. Momenteel is de definitie namelijk zo breed dat het eveneens 3D-aspecten meeneemt.</w:t>
      </w:r>
    </w:p>
    <w:p w14:paraId="564FF0BB" w14:textId="22A29638" w:rsidR="000F1A9B" w:rsidRDefault="000F1A9B" w:rsidP="00991D2D">
      <w:pPr>
        <w:pBdr>
          <w:top w:val="nil"/>
          <w:left w:val="nil"/>
          <w:bottom w:val="nil"/>
          <w:right w:val="nil"/>
          <w:between w:val="nil"/>
        </w:pBdr>
        <w:spacing w:before="0" w:after="0" w:line="259" w:lineRule="auto"/>
        <w:rPr>
          <w:color w:val="000000"/>
        </w:rPr>
      </w:pPr>
    </w:p>
    <w:p w14:paraId="1AD2C89F" w14:textId="236424A7" w:rsidR="000F1A9B" w:rsidRDefault="00DC435E" w:rsidP="00991D2D">
      <w:pPr>
        <w:pBdr>
          <w:top w:val="nil"/>
          <w:left w:val="nil"/>
          <w:bottom w:val="nil"/>
          <w:right w:val="nil"/>
          <w:between w:val="nil"/>
        </w:pBdr>
        <w:spacing w:before="0" w:after="0" w:line="259" w:lineRule="auto"/>
        <w:rPr>
          <w:color w:val="000000"/>
        </w:rPr>
      </w:pPr>
      <w:r>
        <w:rPr>
          <w:b/>
          <w:noProof/>
          <w:lang w:val="en-US"/>
        </w:rPr>
        <w:drawing>
          <wp:anchor distT="0" distB="0" distL="114300" distR="114300" simplePos="0" relativeHeight="251646976" behindDoc="1" locked="0" layoutInCell="1" allowOverlap="1" wp14:anchorId="21F59B86" wp14:editId="400BAB99">
            <wp:simplePos x="0" y="0"/>
            <wp:positionH relativeFrom="column">
              <wp:posOffset>-313690</wp:posOffset>
            </wp:positionH>
            <wp:positionV relativeFrom="paragraph">
              <wp:posOffset>314877</wp:posOffset>
            </wp:positionV>
            <wp:extent cx="3060700" cy="2159635"/>
            <wp:effectExtent l="0" t="0" r="635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neuve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0700" cy="215963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56192" behindDoc="1" locked="0" layoutInCell="1" allowOverlap="1" wp14:anchorId="1E3BA264" wp14:editId="15E22B36">
            <wp:simplePos x="0" y="0"/>
            <wp:positionH relativeFrom="column">
              <wp:posOffset>3350674</wp:posOffset>
            </wp:positionH>
            <wp:positionV relativeFrom="paragraph">
              <wp:posOffset>363855</wp:posOffset>
            </wp:positionV>
            <wp:extent cx="3072130" cy="2159635"/>
            <wp:effectExtent l="0" t="0" r="0" b="0"/>
            <wp:wrapTight wrapText="bothSides">
              <wp:wrapPolygon edited="0">
                <wp:start x="0" y="0"/>
                <wp:lineTo x="0" y="15433"/>
                <wp:lineTo x="2277" y="18291"/>
                <wp:lineTo x="2277" y="21340"/>
                <wp:lineTo x="19153" y="21340"/>
                <wp:lineTo x="19153" y="18291"/>
                <wp:lineTo x="21430" y="15433"/>
                <wp:lineTo x="21430" y="11622"/>
                <wp:lineTo x="13662" y="9146"/>
                <wp:lineTo x="13662" y="6097"/>
                <wp:lineTo x="21430" y="3430"/>
                <wp:lineTo x="21430"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2130" cy="2159635"/>
                    </a:xfrm>
                    <a:prstGeom prst="rect">
                      <a:avLst/>
                    </a:prstGeom>
                    <a:noFill/>
                  </pic:spPr>
                </pic:pic>
              </a:graphicData>
            </a:graphic>
          </wp:anchor>
        </w:drawing>
      </w:r>
      <w:r w:rsidR="000F1A9B">
        <w:rPr>
          <w:noProof/>
          <w:color w:val="000000"/>
          <w:lang w:val="en-US"/>
        </w:rPr>
        <mc:AlternateContent>
          <mc:Choice Requires="wps">
            <w:drawing>
              <wp:anchor distT="0" distB="0" distL="114300" distR="114300" simplePos="0" relativeHeight="251653120" behindDoc="0" locked="0" layoutInCell="1" allowOverlap="1" wp14:anchorId="7AACE809" wp14:editId="02813BE2">
                <wp:simplePos x="0" y="0"/>
                <wp:positionH relativeFrom="column">
                  <wp:posOffset>2874010</wp:posOffset>
                </wp:positionH>
                <wp:positionV relativeFrom="paragraph">
                  <wp:posOffset>1600835</wp:posOffset>
                </wp:positionV>
                <wp:extent cx="400050" cy="133350"/>
                <wp:effectExtent l="57150" t="38100" r="19050" b="95250"/>
                <wp:wrapNone/>
                <wp:docPr id="78" name="Right Arrow 78"/>
                <wp:cNvGraphicFramePr/>
                <a:graphic xmlns:a="http://schemas.openxmlformats.org/drawingml/2006/main">
                  <a:graphicData uri="http://schemas.microsoft.com/office/word/2010/wordprocessingShape">
                    <wps:wsp>
                      <wps:cNvSpPr/>
                      <wps:spPr>
                        <a:xfrm>
                          <a:off x="0" y="0"/>
                          <a:ext cx="400050" cy="1333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4745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8" o:spid="_x0000_s1026" type="#_x0000_t13" style="position:absolute;margin-left:226.3pt;margin-top:126.05pt;width:31.5pt;height:10.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" adj="18000" fillcolor="#4f81bd [3204]" strokecolor="#4579b8 [3044]">
                <v:fill color2="#a7bfde [1620]" rotate="t" angle="180" focus="100%" type="gradient">
                  <o:fill v:ext="view" type="gradientUnscaled"/>
                </v:fill>
                <v:shadow on="t" color="black" opacity="22937f" origin=",.5" offset="0,.63889mm"/>
              </v:shape>
            </w:pict>
          </mc:Fallback>
        </mc:AlternateContent>
      </w:r>
      <w:r w:rsidR="000F1A9B">
        <w:rPr>
          <w:color w:val="000000"/>
        </w:rPr>
        <w:t>Impact op het sneuvelmodel:</w:t>
      </w:r>
    </w:p>
    <w:p w14:paraId="4732127B" w14:textId="77777777" w:rsidR="00476ACF" w:rsidRDefault="00476ACF" w:rsidP="00991D2D">
      <w:pPr>
        <w:rPr>
          <w:i/>
          <w:u w:val="single"/>
        </w:rPr>
      </w:pPr>
    </w:p>
    <w:p w14:paraId="7075E4AD" w14:textId="798039B0" w:rsidR="00991D2D" w:rsidRDefault="00991D2D" w:rsidP="00991D2D">
      <w:pPr>
        <w:rPr>
          <w:i/>
          <w:u w:val="single"/>
        </w:rPr>
      </w:pPr>
      <w:r>
        <w:rPr>
          <w:i/>
          <w:u w:val="single"/>
        </w:rPr>
        <w:lastRenderedPageBreak/>
        <w:t>Entiteit ‘Bron’</w:t>
      </w:r>
    </w:p>
    <w:p w14:paraId="46573D1E" w14:textId="63C3BF72" w:rsidR="00991D2D" w:rsidRDefault="00991D2D" w:rsidP="4EDE2781">
      <w:pPr>
        <w:pBdr>
          <w:top w:val="nil"/>
          <w:left w:val="nil"/>
          <w:bottom w:val="nil"/>
          <w:right w:val="nil"/>
          <w:between w:val="nil"/>
        </w:pBdr>
        <w:spacing w:before="0" w:after="0" w:line="259" w:lineRule="auto"/>
        <w:rPr>
          <w:color w:val="000000" w:themeColor="text1"/>
        </w:rPr>
      </w:pPr>
      <w:r w:rsidRPr="00991D2D">
        <w:rPr>
          <w:noProof/>
          <w:color w:val="000000"/>
          <w:lang w:val="en-US"/>
        </w:rPr>
        <w:drawing>
          <wp:anchor distT="0" distB="0" distL="114300" distR="114300" simplePos="0" relativeHeight="251639296" behindDoc="0" locked="0" layoutInCell="1" allowOverlap="1" wp14:anchorId="1E3A9D4D" wp14:editId="0591E31D">
            <wp:simplePos x="0" y="0"/>
            <wp:positionH relativeFrom="column">
              <wp:posOffset>1514475</wp:posOffset>
            </wp:positionH>
            <wp:positionV relativeFrom="paragraph">
              <wp:posOffset>778510</wp:posOffset>
            </wp:positionV>
            <wp:extent cx="3072130" cy="1858645"/>
            <wp:effectExtent l="0" t="0" r="0" b="8255"/>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72130" cy="1858645"/>
                    </a:xfrm>
                    <a:prstGeom prst="rect">
                      <a:avLst/>
                    </a:prstGeom>
                  </pic:spPr>
                </pic:pic>
              </a:graphicData>
            </a:graphic>
            <wp14:sizeRelH relativeFrom="margin">
              <wp14:pctWidth>0</wp14:pctWidth>
            </wp14:sizeRelH>
            <wp14:sizeRelV relativeFrom="margin">
              <wp14:pctHeight>0</wp14:pctHeight>
            </wp14:sizeRelV>
          </wp:anchor>
        </w:drawing>
      </w:r>
      <w:r>
        <w:rPr>
          <w:color w:val="000000"/>
        </w:rPr>
        <w:t>In LADM wordt daarnaast ook een entiteit ‘Bron’ gebruikt. Dit komt overeen met ‘een document dat de legale en/of administratieve feiten aanlevert op basis waarvan een land administratie object</w:t>
      </w:r>
      <w:r>
        <w:rPr>
          <w:rStyle w:val="FootnoteReference"/>
          <w:color w:val="000000"/>
        </w:rPr>
        <w:footnoteReference w:id="2"/>
      </w:r>
      <w:r>
        <w:rPr>
          <w:color w:val="000000"/>
        </w:rPr>
        <w:t xml:space="preserve"> is gebaseerd. Kortom de bron waarin de rechten, restricties, verantwoordelijkheden, partijen of ruimtelijke eenheden in worden bijgehouden. </w:t>
      </w:r>
    </w:p>
    <w:p w14:paraId="0946B1FB" w14:textId="645D7611" w:rsidR="00991D2D" w:rsidRDefault="00991D2D" w:rsidP="00991D2D">
      <w:pPr>
        <w:pBdr>
          <w:top w:val="nil"/>
          <w:left w:val="nil"/>
          <w:bottom w:val="nil"/>
          <w:right w:val="nil"/>
          <w:between w:val="nil"/>
        </w:pBdr>
        <w:spacing w:before="0" w:after="0" w:line="259" w:lineRule="auto"/>
        <w:rPr>
          <w:color w:val="000000"/>
        </w:rPr>
      </w:pPr>
      <w:r>
        <w:rPr>
          <w:color w:val="000000"/>
        </w:rPr>
        <w:t xml:space="preserve">In LADM wordt dit opgedeeld in 2 subklassen, namelijk: </w:t>
      </w:r>
    </w:p>
    <w:p w14:paraId="67D987AB" w14:textId="49312C76" w:rsidR="00991D2D" w:rsidRDefault="00991D2D" w:rsidP="00991D2D">
      <w:pPr>
        <w:pStyle w:val="ListParagraph"/>
        <w:numPr>
          <w:ilvl w:val="0"/>
          <w:numId w:val="17"/>
        </w:numPr>
        <w:pBdr>
          <w:top w:val="nil"/>
          <w:left w:val="nil"/>
          <w:bottom w:val="nil"/>
          <w:right w:val="nil"/>
          <w:between w:val="nil"/>
        </w:pBdr>
        <w:spacing w:before="0" w:after="0" w:line="259" w:lineRule="auto"/>
        <w:rPr>
          <w:color w:val="000000"/>
        </w:rPr>
      </w:pPr>
      <w:r>
        <w:rPr>
          <w:color w:val="000000"/>
        </w:rPr>
        <w:t>Administratieve Bron</w:t>
      </w:r>
      <w:r w:rsidR="003B5D86">
        <w:rPr>
          <w:color w:val="000000"/>
        </w:rPr>
        <w:t>: De bron met de administratieve beschrijving van de partijen, de rechten, restricties, verantwoordelijkheden en de administratieve eenheden.</w:t>
      </w:r>
    </w:p>
    <w:p w14:paraId="5557B91A" w14:textId="1B18BB48" w:rsidR="00991D2D" w:rsidRDefault="00991D2D" w:rsidP="00991D2D">
      <w:pPr>
        <w:pStyle w:val="ListParagraph"/>
        <w:numPr>
          <w:ilvl w:val="0"/>
          <w:numId w:val="17"/>
        </w:numPr>
        <w:pBdr>
          <w:top w:val="nil"/>
          <w:left w:val="nil"/>
          <w:bottom w:val="nil"/>
          <w:right w:val="nil"/>
          <w:between w:val="nil"/>
        </w:pBdr>
        <w:spacing w:before="0" w:after="0" w:line="259" w:lineRule="auto"/>
        <w:rPr>
          <w:color w:val="000000"/>
        </w:rPr>
      </w:pPr>
      <w:r>
        <w:rPr>
          <w:color w:val="000000"/>
        </w:rPr>
        <w:t>Ruimtelijke Bron</w:t>
      </w:r>
      <w:r w:rsidR="003B5D86">
        <w:rPr>
          <w:color w:val="000000"/>
        </w:rPr>
        <w:t>: De bron met de ruimtelijke representatie van een (deel van) or meerdere ruimtelijke eenheden.</w:t>
      </w:r>
    </w:p>
    <w:p w14:paraId="1ED57181" w14:textId="2A81B6EE" w:rsidR="003B5D86" w:rsidRDefault="003B5D86" w:rsidP="00C02A7A">
      <w:pPr>
        <w:pBdr>
          <w:top w:val="nil"/>
          <w:left w:val="nil"/>
          <w:bottom w:val="nil"/>
          <w:right w:val="nil"/>
          <w:between w:val="nil"/>
        </w:pBdr>
        <w:spacing w:before="0" w:after="0" w:line="259" w:lineRule="auto"/>
        <w:rPr>
          <w:color w:val="000000"/>
        </w:rPr>
      </w:pPr>
      <w:r>
        <w:rPr>
          <w:color w:val="000000"/>
        </w:rPr>
        <w:t>Het verschil tussen deze twee klassen is dat een administratieve bron metadata kan meegeven over een</w:t>
      </w:r>
      <w:r w:rsidR="00C02A7A">
        <w:rPr>
          <w:color w:val="000000"/>
        </w:rPr>
        <w:t xml:space="preserve"> </w:t>
      </w:r>
      <w:r>
        <w:rPr>
          <w:color w:val="000000"/>
        </w:rPr>
        <w:t xml:space="preserve">bepaalde ruimtelijke eenheid zoals de partijen die een relatie hebben </w:t>
      </w:r>
      <w:r w:rsidR="00C02A7A">
        <w:rPr>
          <w:color w:val="000000"/>
        </w:rPr>
        <w:t xml:space="preserve">en dat een ruimtelijke bron metadata aanlevert over de wijze waarop de ruimtelijke eenheid is opgemeten. Dit omvat gegevens zoals nauwkeurigheidsgraad, </w:t>
      </w:r>
      <w:r w:rsidR="00647D88">
        <w:rPr>
          <w:color w:val="000000"/>
        </w:rPr>
        <w:t>opmetingsprocedure...</w:t>
      </w:r>
    </w:p>
    <w:p w14:paraId="01038A48" w14:textId="5F2D309B" w:rsidR="000F1A9B" w:rsidRDefault="00DC435E" w:rsidP="4EDE2781">
      <w:pPr>
        <w:pBdr>
          <w:top w:val="nil"/>
          <w:left w:val="nil"/>
          <w:bottom w:val="nil"/>
          <w:right w:val="nil"/>
          <w:between w:val="nil"/>
        </w:pBdr>
        <w:spacing w:before="0" w:after="0" w:line="259" w:lineRule="auto"/>
        <w:rPr>
          <w:color w:val="000000" w:themeColor="text1"/>
        </w:rPr>
      </w:pPr>
      <w:r>
        <w:rPr>
          <w:noProof/>
          <w:color w:val="000000"/>
          <w:lang w:val="en-US"/>
        </w:rPr>
        <w:drawing>
          <wp:anchor distT="0" distB="0" distL="114300" distR="114300" simplePos="0" relativeHeight="251683840" behindDoc="0" locked="0" layoutInCell="1" allowOverlap="1" wp14:anchorId="31B26DDD" wp14:editId="0FCD2BF4">
            <wp:simplePos x="0" y="0"/>
            <wp:positionH relativeFrom="column">
              <wp:posOffset>1640205</wp:posOffset>
            </wp:positionH>
            <wp:positionV relativeFrom="paragraph">
              <wp:posOffset>648142</wp:posOffset>
            </wp:positionV>
            <wp:extent cx="3072130" cy="2159635"/>
            <wp:effectExtent l="0" t="0" r="0" b="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2130" cy="2159635"/>
                    </a:xfrm>
                    <a:prstGeom prst="rect">
                      <a:avLst/>
                    </a:prstGeom>
                    <a:noFill/>
                  </pic:spPr>
                </pic:pic>
              </a:graphicData>
            </a:graphic>
          </wp:anchor>
        </w:drawing>
      </w:r>
      <w:r w:rsidR="000F1A9B">
        <w:rPr>
          <w:color w:val="000000"/>
        </w:rPr>
        <w:t>Op de werkgroepvergadering werd aangegeven dat de</w:t>
      </w:r>
      <w:r w:rsidR="00C5743B">
        <w:rPr>
          <w:color w:val="000000"/>
        </w:rPr>
        <w:t xml:space="preserve"> term ‘Bron’ op zich te vaag is: </w:t>
      </w:r>
      <w:r w:rsidR="000F1A9B">
        <w:rPr>
          <w:color w:val="000000"/>
        </w:rPr>
        <w:t>gaat het hier namelijk om de b</w:t>
      </w:r>
      <w:r w:rsidR="00566955">
        <w:rPr>
          <w:color w:val="000000"/>
        </w:rPr>
        <w:t>estaansreden van het object of</w:t>
      </w:r>
      <w:r w:rsidR="000F1A9B">
        <w:rPr>
          <w:color w:val="000000"/>
        </w:rPr>
        <w:t xml:space="preserve"> de achte</w:t>
      </w:r>
      <w:r w:rsidR="00C5743B">
        <w:rPr>
          <w:color w:val="000000"/>
        </w:rPr>
        <w:t>rliggende databron met metadata?</w:t>
      </w:r>
      <w:r w:rsidR="00566955">
        <w:rPr>
          <w:color w:val="000000"/>
        </w:rPr>
        <w:t xml:space="preserve"> Vandaar dat men binnen dit model voorstelt om de term ‘Databron’ te hanteren. </w:t>
      </w:r>
    </w:p>
    <w:p w14:paraId="65CD65F4" w14:textId="2FABEEB5" w:rsidR="00647D88" w:rsidRDefault="00647D88" w:rsidP="00C02A7A">
      <w:pPr>
        <w:pBdr>
          <w:top w:val="nil"/>
          <w:left w:val="nil"/>
          <w:bottom w:val="nil"/>
          <w:right w:val="nil"/>
          <w:between w:val="nil"/>
        </w:pBdr>
        <w:spacing w:before="0" w:after="0" w:line="259" w:lineRule="auto"/>
        <w:rPr>
          <w:i/>
          <w:color w:val="000000"/>
          <w:u w:val="single"/>
        </w:rPr>
      </w:pPr>
      <w:r w:rsidRPr="00647D88">
        <w:rPr>
          <w:i/>
          <w:color w:val="000000"/>
          <w:u w:val="single"/>
        </w:rPr>
        <w:lastRenderedPageBreak/>
        <w:t>Gebruikspercelen</w:t>
      </w:r>
    </w:p>
    <w:p w14:paraId="735B4657" w14:textId="57B4A0F3" w:rsidR="00647D88" w:rsidRDefault="00647D88" w:rsidP="00C02A7A">
      <w:pPr>
        <w:pBdr>
          <w:top w:val="nil"/>
          <w:left w:val="nil"/>
          <w:bottom w:val="nil"/>
          <w:right w:val="nil"/>
          <w:between w:val="nil"/>
        </w:pBdr>
        <w:spacing w:before="0" w:after="0" w:line="259" w:lineRule="auto"/>
        <w:rPr>
          <w:color w:val="000000"/>
        </w:rPr>
      </w:pPr>
      <w:r>
        <w:rPr>
          <w:color w:val="000000"/>
        </w:rPr>
        <w:t>In het sneuvelmodel werden verschillende soorten gebruikspercelen (Openbaar Domein, landbouwperceel, bedrijventerreinen, vervuilingsperceel) toegevoegd als specialisaties van het centrale element ‘Perceel’ (nu: ‘Ruimtelijke eenheid’). Door op deze wijze te werken, loopt men het risico om te diep in te gaan op de details van de verschillende gebruikspercelen.</w:t>
      </w:r>
    </w:p>
    <w:p w14:paraId="1A15217F" w14:textId="74C43517" w:rsidR="00647D88" w:rsidRDefault="0036615C" w:rsidP="00C02A7A">
      <w:pPr>
        <w:pBdr>
          <w:top w:val="nil"/>
          <w:left w:val="nil"/>
          <w:bottom w:val="nil"/>
          <w:right w:val="nil"/>
          <w:between w:val="nil"/>
        </w:pBdr>
        <w:spacing w:before="0" w:after="0" w:line="259" w:lineRule="auto"/>
        <w:rPr>
          <w:color w:val="000000"/>
        </w:rPr>
      </w:pPr>
      <w:r>
        <w:rPr>
          <w:color w:val="000000"/>
        </w:rPr>
        <w:t>B</w:t>
      </w:r>
      <w:r w:rsidR="00647D88">
        <w:rPr>
          <w:color w:val="000000"/>
        </w:rPr>
        <w:t>innen LADM vallen de verschillende soorten specialisaties van ‘Ruimtelijke eenheid’ buiten de scope van het model. In annex K van LADM vermelden ze dat het mogelijk is om te werken met externe klassen. Specifiek voor landgebruik en landbedekking, werden twee externe klassen gedefinieerd waarvoor een codelijst is gedefinieerd</w:t>
      </w:r>
      <w:r w:rsidR="00C1489D">
        <w:rPr>
          <w:color w:val="000000"/>
        </w:rPr>
        <w:t xml:space="preserve"> (zie figuur hieronder).</w:t>
      </w:r>
    </w:p>
    <w:p w14:paraId="44ACA02A" w14:textId="529AC5C3" w:rsidR="0036615C" w:rsidRDefault="000F1A9B" w:rsidP="0036615C">
      <w:pPr>
        <w:pBdr>
          <w:top w:val="nil"/>
          <w:left w:val="nil"/>
          <w:bottom w:val="nil"/>
          <w:right w:val="nil"/>
          <w:between w:val="nil"/>
        </w:pBdr>
        <w:spacing w:before="0" w:after="0" w:line="259" w:lineRule="auto"/>
        <w:rPr>
          <w:color w:val="000000"/>
        </w:rPr>
      </w:pPr>
      <w:r w:rsidRPr="00647D88">
        <w:rPr>
          <w:noProof/>
          <w:color w:val="000000"/>
          <w:u w:val="single"/>
          <w:lang w:val="en-US"/>
        </w:rPr>
        <w:drawing>
          <wp:anchor distT="0" distB="0" distL="114300" distR="114300" simplePos="0" relativeHeight="251658240" behindDoc="0" locked="0" layoutInCell="1" allowOverlap="1" wp14:anchorId="57E4D043" wp14:editId="24F20B30">
            <wp:simplePos x="0" y="0"/>
            <wp:positionH relativeFrom="column">
              <wp:posOffset>4086860</wp:posOffset>
            </wp:positionH>
            <wp:positionV relativeFrom="paragraph">
              <wp:posOffset>100965</wp:posOffset>
            </wp:positionV>
            <wp:extent cx="818515" cy="1849574"/>
            <wp:effectExtent l="0" t="0" r="63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18515" cy="1849574"/>
                    </a:xfrm>
                    <a:prstGeom prst="rect">
                      <a:avLst/>
                    </a:prstGeom>
                  </pic:spPr>
                </pic:pic>
              </a:graphicData>
            </a:graphic>
            <wp14:sizeRelH relativeFrom="margin">
              <wp14:pctWidth>0</wp14:pctWidth>
            </wp14:sizeRelH>
            <wp14:sizeRelV relativeFrom="margin">
              <wp14:pctHeight>0</wp14:pctHeight>
            </wp14:sizeRelV>
          </wp:anchor>
        </w:drawing>
      </w:r>
      <w:r w:rsidR="00647D88" w:rsidRPr="00647D88">
        <w:rPr>
          <w:noProof/>
          <w:color w:val="000000"/>
          <w:u w:val="single"/>
          <w:lang w:val="en-US"/>
        </w:rPr>
        <w:drawing>
          <wp:anchor distT="0" distB="0" distL="114300" distR="114300" simplePos="0" relativeHeight="251659264" behindDoc="0" locked="0" layoutInCell="1" allowOverlap="1" wp14:anchorId="7B1D1BBB" wp14:editId="624C9219">
            <wp:simplePos x="0" y="0"/>
            <wp:positionH relativeFrom="column">
              <wp:posOffset>-2540</wp:posOffset>
            </wp:positionH>
            <wp:positionV relativeFrom="paragraph">
              <wp:posOffset>145415</wp:posOffset>
            </wp:positionV>
            <wp:extent cx="3349588" cy="1955800"/>
            <wp:effectExtent l="0" t="0" r="3810" b="635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349588" cy="1955800"/>
                    </a:xfrm>
                    <a:prstGeom prst="rect">
                      <a:avLst/>
                    </a:prstGeom>
                  </pic:spPr>
                </pic:pic>
              </a:graphicData>
            </a:graphic>
            <wp14:sizeRelH relativeFrom="margin">
              <wp14:pctWidth>0</wp14:pctWidth>
            </wp14:sizeRelH>
            <wp14:sizeRelV relativeFrom="margin">
              <wp14:pctHeight>0</wp14:pctHeight>
            </wp14:sizeRelV>
          </wp:anchor>
        </w:drawing>
      </w:r>
      <w:r w:rsidR="0036615C">
        <w:rPr>
          <w:color w:val="000000"/>
        </w:rPr>
        <w:t>De werkgroep gaf aan dat de term ‘Landgebruik’ te eng of verwarrend is om opgenomen te worden in dit model. Men kan namelijk een vervuiling moeilijk aanzien als land</w:t>
      </w:r>
      <w:r w:rsidR="0036615C" w:rsidRPr="00C1489D">
        <w:rPr>
          <w:color w:val="000000"/>
          <w:u w:val="single"/>
        </w:rPr>
        <w:t>gebruik</w:t>
      </w:r>
      <w:r w:rsidR="0036615C">
        <w:rPr>
          <w:color w:val="000000"/>
        </w:rPr>
        <w:t xml:space="preserve">. </w:t>
      </w:r>
      <w:r w:rsidR="00C1489D">
        <w:rPr>
          <w:color w:val="000000"/>
        </w:rPr>
        <w:t>Alternatieve</w:t>
      </w:r>
      <w:r w:rsidR="0036615C">
        <w:rPr>
          <w:color w:val="000000"/>
        </w:rPr>
        <w:t xml:space="preserve"> voorstellen </w:t>
      </w:r>
      <w:r w:rsidR="00C1489D">
        <w:rPr>
          <w:color w:val="000000"/>
        </w:rPr>
        <w:t>zijn</w:t>
      </w:r>
      <w:r w:rsidR="0036615C">
        <w:rPr>
          <w:color w:val="000000"/>
        </w:rPr>
        <w:t>:</w:t>
      </w:r>
    </w:p>
    <w:p w14:paraId="09EE4536" w14:textId="1B9A301C" w:rsidR="0036615C" w:rsidRDefault="0036615C" w:rsidP="0036615C">
      <w:pPr>
        <w:pStyle w:val="ListParagraph"/>
        <w:numPr>
          <w:ilvl w:val="0"/>
          <w:numId w:val="18"/>
        </w:numPr>
        <w:pBdr>
          <w:top w:val="nil"/>
          <w:left w:val="nil"/>
          <w:bottom w:val="nil"/>
          <w:right w:val="nil"/>
          <w:between w:val="nil"/>
        </w:pBdr>
        <w:spacing w:before="0" w:after="0" w:line="259" w:lineRule="auto"/>
      </w:pPr>
      <w:r w:rsidRPr="0036615C">
        <w:t>Type</w:t>
      </w:r>
      <w:r>
        <w:t>;</w:t>
      </w:r>
    </w:p>
    <w:p w14:paraId="70CAB813" w14:textId="78275ADE" w:rsidR="0036615C" w:rsidRDefault="0036615C" w:rsidP="0036615C">
      <w:pPr>
        <w:pStyle w:val="ListParagraph"/>
        <w:numPr>
          <w:ilvl w:val="0"/>
          <w:numId w:val="18"/>
        </w:numPr>
        <w:pBdr>
          <w:top w:val="nil"/>
          <w:left w:val="nil"/>
          <w:bottom w:val="nil"/>
          <w:right w:val="nil"/>
          <w:between w:val="nil"/>
        </w:pBdr>
        <w:spacing w:before="0" w:after="0" w:line="259" w:lineRule="auto"/>
      </w:pPr>
      <w:r>
        <w:t>Categorie</w:t>
      </w:r>
      <w:r w:rsidR="00C1489D">
        <w:t>.</w:t>
      </w:r>
    </w:p>
    <w:p w14:paraId="28D4233E" w14:textId="525AD7A7" w:rsidR="0036615C" w:rsidRDefault="00DC435E" w:rsidP="0036615C">
      <w:pPr>
        <w:pBdr>
          <w:top w:val="nil"/>
          <w:left w:val="nil"/>
          <w:bottom w:val="nil"/>
          <w:right w:val="nil"/>
          <w:between w:val="nil"/>
        </w:pBdr>
        <w:spacing w:before="0" w:after="0" w:line="259" w:lineRule="auto"/>
      </w:pPr>
      <w:r>
        <w:rPr>
          <w:noProof/>
          <w:lang w:val="en-US"/>
        </w:rPr>
        <w:drawing>
          <wp:anchor distT="0" distB="0" distL="114300" distR="114300" simplePos="0" relativeHeight="251637760" behindDoc="0" locked="0" layoutInCell="1" allowOverlap="1" wp14:anchorId="694CF0C3" wp14:editId="08ED763E">
            <wp:simplePos x="0" y="0"/>
            <wp:positionH relativeFrom="column">
              <wp:posOffset>1041400</wp:posOffset>
            </wp:positionH>
            <wp:positionV relativeFrom="paragraph">
              <wp:posOffset>476996</wp:posOffset>
            </wp:positionV>
            <wp:extent cx="4343699" cy="2160000"/>
            <wp:effectExtent l="0" t="0" r="0" b="0"/>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43699" cy="2160000"/>
                    </a:xfrm>
                    <a:prstGeom prst="rect">
                      <a:avLst/>
                    </a:prstGeom>
                    <a:noFill/>
                  </pic:spPr>
                </pic:pic>
              </a:graphicData>
            </a:graphic>
            <wp14:sizeRelH relativeFrom="margin">
              <wp14:pctWidth>0</wp14:pctWidth>
            </wp14:sizeRelH>
            <wp14:sizeRelV relativeFrom="margin">
              <wp14:pctHeight>0</wp14:pctHeight>
            </wp14:sizeRelV>
          </wp:anchor>
        </w:drawing>
      </w:r>
      <w:r w:rsidR="0036615C">
        <w:t xml:space="preserve">Daarnaast vroeg men zich eveneens af of een bepaalde ruimtelijke eenheid tot verschillende types tegelijk kan behoren. </w:t>
      </w:r>
    </w:p>
    <w:p w14:paraId="34F3519A" w14:textId="53933B68" w:rsidR="00051491" w:rsidRDefault="00CA63CE" w:rsidP="00CA63CE">
      <w:pPr>
        <w:pBdr>
          <w:top w:val="nil"/>
          <w:left w:val="nil"/>
          <w:bottom w:val="nil"/>
          <w:right w:val="nil"/>
          <w:between w:val="nil"/>
        </w:pBdr>
        <w:tabs>
          <w:tab w:val="left" w:pos="1352"/>
        </w:tabs>
        <w:spacing w:before="0" w:after="0" w:line="259" w:lineRule="auto"/>
      </w:pPr>
      <w:r>
        <w:tab/>
      </w:r>
    </w:p>
    <w:p w14:paraId="151F91CC" w14:textId="77777777" w:rsidR="00CA63CE" w:rsidRDefault="00CA63CE" w:rsidP="00CA63CE">
      <w:pPr>
        <w:pBdr>
          <w:top w:val="nil"/>
          <w:left w:val="nil"/>
          <w:bottom w:val="nil"/>
          <w:right w:val="nil"/>
          <w:between w:val="nil"/>
        </w:pBdr>
        <w:tabs>
          <w:tab w:val="left" w:pos="1352"/>
        </w:tabs>
        <w:spacing w:before="0" w:after="0" w:line="259" w:lineRule="auto"/>
      </w:pPr>
    </w:p>
    <w:p w14:paraId="549F4A79" w14:textId="2B1E0A05" w:rsidR="0036615C" w:rsidRPr="00563A3A" w:rsidRDefault="00563A3A" w:rsidP="0036615C">
      <w:pPr>
        <w:pBdr>
          <w:top w:val="nil"/>
          <w:left w:val="nil"/>
          <w:bottom w:val="nil"/>
          <w:right w:val="nil"/>
          <w:between w:val="nil"/>
        </w:pBdr>
        <w:spacing w:before="0" w:after="0" w:line="259" w:lineRule="auto"/>
        <w:rPr>
          <w:i/>
          <w:u w:val="single"/>
        </w:rPr>
      </w:pPr>
      <w:r w:rsidRPr="00563A3A">
        <w:rPr>
          <w:i/>
          <w:u w:val="single"/>
        </w:rPr>
        <w:lastRenderedPageBreak/>
        <w:t xml:space="preserve">Relaties </w:t>
      </w:r>
      <w:r w:rsidR="00CA63CE">
        <w:rPr>
          <w:i/>
          <w:u w:val="single"/>
        </w:rPr>
        <w:t>Agent</w:t>
      </w:r>
    </w:p>
    <w:p w14:paraId="14F78E6E" w14:textId="76E5E28F" w:rsidR="00CA63CE" w:rsidRDefault="001B6036" w:rsidP="0036615C">
      <w:pPr>
        <w:pBdr>
          <w:top w:val="nil"/>
          <w:left w:val="nil"/>
          <w:bottom w:val="nil"/>
          <w:right w:val="nil"/>
          <w:between w:val="nil"/>
        </w:pBdr>
        <w:spacing w:before="0" w:after="0" w:line="259" w:lineRule="auto"/>
      </w:pPr>
      <w:r>
        <w:rPr>
          <w:noProof/>
          <w:lang w:val="en-US"/>
        </w:rPr>
        <w:drawing>
          <wp:anchor distT="0" distB="0" distL="114300" distR="114300" simplePos="0" relativeHeight="251641856" behindDoc="0" locked="0" layoutInCell="1" allowOverlap="1" wp14:anchorId="2AEC5481" wp14:editId="11C1984A">
            <wp:simplePos x="0" y="0"/>
            <wp:positionH relativeFrom="column">
              <wp:posOffset>911432</wp:posOffset>
            </wp:positionH>
            <wp:positionV relativeFrom="paragraph">
              <wp:posOffset>669925</wp:posOffset>
            </wp:positionV>
            <wp:extent cx="4334400" cy="2160000"/>
            <wp:effectExtent l="0" t="0" r="0" b="0"/>
            <wp:wrapTopAndBottom/>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34400" cy="2160000"/>
                    </a:xfrm>
                    <a:prstGeom prst="rect">
                      <a:avLst/>
                    </a:prstGeom>
                    <a:noFill/>
                  </pic:spPr>
                </pic:pic>
              </a:graphicData>
            </a:graphic>
            <wp14:sizeRelH relativeFrom="page">
              <wp14:pctWidth>0</wp14:pctWidth>
            </wp14:sizeRelH>
            <wp14:sizeRelV relativeFrom="page">
              <wp14:pctHeight>0</wp14:pctHeight>
            </wp14:sizeRelV>
          </wp:anchor>
        </w:drawing>
      </w:r>
      <w:r w:rsidR="00CA63CE">
        <w:t>Er werden twee relaties geïndentificeerd voor de entiteit Agent, namelijk een relatie met patrimoniumperceel waarin de zakelijke rechten zijn gedefinieerd en een relaties met Ruimtelijke eenheid om andere rechten, verantwoordelijkheden of restricties aan te duiden.</w:t>
      </w:r>
    </w:p>
    <w:p w14:paraId="483B84B5" w14:textId="1BDA7AE5" w:rsidR="004201F8" w:rsidRDefault="004201F8" w:rsidP="0036615C">
      <w:pPr>
        <w:pBdr>
          <w:top w:val="nil"/>
          <w:left w:val="nil"/>
          <w:bottom w:val="nil"/>
          <w:right w:val="nil"/>
          <w:between w:val="nil"/>
        </w:pBdr>
        <w:spacing w:before="0" w:after="0" w:line="259" w:lineRule="auto"/>
      </w:pPr>
    </w:p>
    <w:p w14:paraId="08074BC3" w14:textId="33D11788" w:rsidR="00CA63CE" w:rsidRDefault="00CA63CE" w:rsidP="0036615C">
      <w:pPr>
        <w:pBdr>
          <w:top w:val="nil"/>
          <w:left w:val="nil"/>
          <w:bottom w:val="nil"/>
          <w:right w:val="nil"/>
          <w:between w:val="nil"/>
        </w:pBdr>
        <w:spacing w:before="0" w:after="0" w:line="259" w:lineRule="auto"/>
        <w:rPr>
          <w:i/>
          <w:u w:val="single"/>
        </w:rPr>
      </w:pPr>
      <w:r>
        <w:rPr>
          <w:i/>
          <w:u w:val="single"/>
        </w:rPr>
        <w:t>Gebouw, Gebouweenheid &amp; Adres</w:t>
      </w:r>
    </w:p>
    <w:p w14:paraId="778091D2" w14:textId="0BFA0CED" w:rsidR="00CA63CE" w:rsidRDefault="00E550A1" w:rsidP="0036615C">
      <w:pPr>
        <w:pBdr>
          <w:top w:val="nil"/>
          <w:left w:val="nil"/>
          <w:bottom w:val="nil"/>
          <w:right w:val="nil"/>
          <w:between w:val="nil"/>
        </w:pBdr>
        <w:spacing w:before="0" w:after="0" w:line="259" w:lineRule="auto"/>
      </w:pPr>
      <w:r>
        <w:rPr>
          <w:noProof/>
          <w:lang w:val="en-US"/>
        </w:rPr>
        <w:drawing>
          <wp:anchor distT="0" distB="0" distL="114300" distR="114300" simplePos="0" relativeHeight="251673600" behindDoc="0" locked="0" layoutInCell="1" allowOverlap="1" wp14:anchorId="68264CD2" wp14:editId="5DB4DD39">
            <wp:simplePos x="0" y="0"/>
            <wp:positionH relativeFrom="column">
              <wp:posOffset>1014257</wp:posOffset>
            </wp:positionH>
            <wp:positionV relativeFrom="page">
              <wp:posOffset>5518564</wp:posOffset>
            </wp:positionV>
            <wp:extent cx="4302000" cy="2160000"/>
            <wp:effectExtent l="0" t="0" r="3810" b="0"/>
            <wp:wrapTopAndBottom/>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02000" cy="2160000"/>
                    </a:xfrm>
                    <a:prstGeom prst="rect">
                      <a:avLst/>
                    </a:prstGeom>
                    <a:noFill/>
                  </pic:spPr>
                </pic:pic>
              </a:graphicData>
            </a:graphic>
            <wp14:sizeRelH relativeFrom="margin">
              <wp14:pctWidth>0</wp14:pctWidth>
            </wp14:sizeRelH>
            <wp14:sizeRelV relativeFrom="margin">
              <wp14:pctHeight>0</wp14:pctHeight>
            </wp14:sizeRelV>
          </wp:anchor>
        </w:drawing>
      </w:r>
      <w:r w:rsidR="00CA63CE">
        <w:t xml:space="preserve">In de eerste werkgroepen werd rekening gehouden met entiteiten zoals gebouw, gebouweenheid en adres. Deze beslissing werd echter herzien en men opteert ervoor om deze niet mee op te nemen in dit datamodel aangezien deze reeds worden opgenomen in andere </w:t>
      </w:r>
      <w:r w:rsidR="00C1489D">
        <w:t>OSLO-</w:t>
      </w:r>
      <w:r w:rsidR="00CA63CE">
        <w:t xml:space="preserve">trajecten zoals Gebouwen- en adressenregister. </w:t>
      </w:r>
    </w:p>
    <w:p w14:paraId="3FBF3F7E" w14:textId="77777777" w:rsidR="00E550A1" w:rsidRPr="00CA63CE" w:rsidRDefault="00E550A1" w:rsidP="0036615C">
      <w:pPr>
        <w:pBdr>
          <w:top w:val="nil"/>
          <w:left w:val="nil"/>
          <w:bottom w:val="nil"/>
          <w:right w:val="nil"/>
          <w:between w:val="nil"/>
        </w:pBdr>
        <w:spacing w:before="0" w:after="0" w:line="259" w:lineRule="auto"/>
      </w:pPr>
    </w:p>
    <w:p w14:paraId="5FA8FF01" w14:textId="13F86D50" w:rsidR="00CA63CE" w:rsidRPr="00CA63CE" w:rsidRDefault="00CA63CE" w:rsidP="00E550A1">
      <w:pPr>
        <w:pBdr>
          <w:top w:val="nil"/>
          <w:left w:val="nil"/>
          <w:bottom w:val="nil"/>
          <w:right w:val="nil"/>
          <w:between w:val="nil"/>
        </w:pBdr>
        <w:spacing w:before="0" w:after="0" w:line="259" w:lineRule="auto"/>
        <w:rPr>
          <w:b/>
        </w:rPr>
      </w:pPr>
      <w:r w:rsidRPr="00CA63CE">
        <w:rPr>
          <w:b/>
        </w:rPr>
        <w:t xml:space="preserve">2.3. </w:t>
      </w:r>
      <w:r>
        <w:rPr>
          <w:b/>
        </w:rPr>
        <w:t>Definities</w:t>
      </w:r>
    </w:p>
    <w:p w14:paraId="3BED0975" w14:textId="35692749" w:rsidR="00CA63CE" w:rsidRDefault="4EDE2781" w:rsidP="4EDE2781">
      <w:pPr>
        <w:pStyle w:val="Quote"/>
        <w:ind w:left="0"/>
        <w:jc w:val="both"/>
        <w:rPr>
          <w:i w:val="0"/>
          <w:iCs w:val="0"/>
          <w:color w:val="auto"/>
        </w:rPr>
      </w:pPr>
      <w:r w:rsidRPr="4EDE2781">
        <w:rPr>
          <w:i w:val="0"/>
          <w:iCs w:val="0"/>
          <w:color w:val="auto"/>
        </w:rPr>
        <w:t xml:space="preserve">Hieronder kan men een samenvatting vinden van de verschillende definities die zijn besproken op de werkgroep. Deze definities staan nog niet vast, en opmerkingen, suggesties of wijzigingen aan de definities mogen steeds doorgestuurd worden naar </w:t>
      </w:r>
      <w:hyperlink r:id="rId27">
        <w:r w:rsidRPr="4EDE2781">
          <w:rPr>
            <w:rStyle w:val="Hyperlink"/>
            <w:i w:val="0"/>
            <w:iCs w:val="0"/>
          </w:rPr>
          <w:t>kevin.haleydt@kb.vlaanderen.be</w:t>
        </w:r>
      </w:hyperlink>
      <w:r w:rsidRPr="4EDE2781">
        <w:rPr>
          <w:i w:val="0"/>
          <w:iCs w:val="0"/>
          <w:color w:val="au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4867"/>
        <w:gridCol w:w="3112"/>
      </w:tblGrid>
      <w:tr w:rsidR="00CA63CE" w14:paraId="72C6B870" w14:textId="56562A8B" w:rsidTr="00933309">
        <w:tc>
          <w:tcPr>
            <w:tcW w:w="2093" w:type="dxa"/>
            <w:tcBorders>
              <w:bottom w:val="single" w:sz="4" w:space="0" w:color="auto"/>
            </w:tcBorders>
          </w:tcPr>
          <w:p w14:paraId="0692FF8E" w14:textId="7D93D34E" w:rsidR="00CA63CE" w:rsidRPr="00933309" w:rsidRDefault="00CA63CE" w:rsidP="00CA63CE">
            <w:pPr>
              <w:rPr>
                <w:b/>
              </w:rPr>
            </w:pPr>
            <w:r w:rsidRPr="00933309">
              <w:rPr>
                <w:b/>
              </w:rPr>
              <w:lastRenderedPageBreak/>
              <w:t>Entiteit</w:t>
            </w:r>
          </w:p>
        </w:tc>
        <w:tc>
          <w:tcPr>
            <w:tcW w:w="4918" w:type="dxa"/>
            <w:tcBorders>
              <w:bottom w:val="single" w:sz="4" w:space="0" w:color="auto"/>
            </w:tcBorders>
          </w:tcPr>
          <w:p w14:paraId="5062A0FC" w14:textId="7CBFB2D2" w:rsidR="00CA63CE" w:rsidRPr="00933309" w:rsidRDefault="00CA63CE" w:rsidP="00CA63CE">
            <w:pPr>
              <w:rPr>
                <w:b/>
              </w:rPr>
            </w:pPr>
            <w:r w:rsidRPr="00933309">
              <w:rPr>
                <w:b/>
              </w:rPr>
              <w:t>Definitie</w:t>
            </w:r>
          </w:p>
        </w:tc>
        <w:tc>
          <w:tcPr>
            <w:tcW w:w="3126" w:type="dxa"/>
            <w:tcBorders>
              <w:bottom w:val="single" w:sz="4" w:space="0" w:color="auto"/>
            </w:tcBorders>
          </w:tcPr>
          <w:p w14:paraId="42AAF235" w14:textId="7AFA04EF" w:rsidR="00CA63CE" w:rsidRPr="00933309" w:rsidRDefault="00CA63CE" w:rsidP="00CA63CE">
            <w:pPr>
              <w:rPr>
                <w:b/>
              </w:rPr>
            </w:pPr>
            <w:r w:rsidRPr="00933309">
              <w:rPr>
                <w:b/>
              </w:rPr>
              <w:t>Opmerking</w:t>
            </w:r>
          </w:p>
        </w:tc>
      </w:tr>
      <w:tr w:rsidR="00CA63CE" w14:paraId="3AF09927" w14:textId="331AC1AF" w:rsidTr="00933309">
        <w:tc>
          <w:tcPr>
            <w:tcW w:w="2093" w:type="dxa"/>
            <w:tcBorders>
              <w:top w:val="single" w:sz="4" w:space="0" w:color="auto"/>
              <w:bottom w:val="single" w:sz="4" w:space="0" w:color="auto"/>
            </w:tcBorders>
          </w:tcPr>
          <w:p w14:paraId="4C9E992C" w14:textId="7CA588AF" w:rsidR="00CA63CE" w:rsidRDefault="00CA63CE" w:rsidP="00CA63CE">
            <w:r>
              <w:t>Ruimtelijke eenheid</w:t>
            </w:r>
          </w:p>
        </w:tc>
        <w:tc>
          <w:tcPr>
            <w:tcW w:w="4918" w:type="dxa"/>
            <w:tcBorders>
              <w:top w:val="single" w:sz="4" w:space="0" w:color="auto"/>
              <w:bottom w:val="single" w:sz="4" w:space="0" w:color="auto"/>
            </w:tcBorders>
          </w:tcPr>
          <w:p w14:paraId="7B6709D1" w14:textId="10D25E84" w:rsidR="00CA63CE" w:rsidRDefault="00CA63CE" w:rsidP="00CA63CE">
            <w:r w:rsidRPr="00CA63CE">
              <w:t>één gebied (of meerdere gebieden) van land en/of water, of één enkel volume (of meerdere volumes) ruimte”</w:t>
            </w:r>
            <w:r>
              <w:t xml:space="preserve"> (</w:t>
            </w:r>
            <w:hyperlink r:id="rId28" w:history="1">
              <w:r w:rsidRPr="00E550A1">
                <w:rPr>
                  <w:rStyle w:val="Hyperlink"/>
                </w:rPr>
                <w:t>LADM</w:t>
              </w:r>
            </w:hyperlink>
            <w:r>
              <w:t>)</w:t>
            </w:r>
          </w:p>
        </w:tc>
        <w:tc>
          <w:tcPr>
            <w:tcW w:w="3126" w:type="dxa"/>
            <w:tcBorders>
              <w:top w:val="single" w:sz="4" w:space="0" w:color="auto"/>
              <w:bottom w:val="single" w:sz="4" w:space="0" w:color="auto"/>
            </w:tcBorders>
          </w:tcPr>
          <w:p w14:paraId="248515AA" w14:textId="38FA4ECC" w:rsidR="00CA63CE" w:rsidRPr="00CA63CE" w:rsidRDefault="00CA63CE" w:rsidP="00CA63CE">
            <w:r>
              <w:t>Is het gewenst om het 3D aspect van deze definitie te behouden?</w:t>
            </w:r>
          </w:p>
        </w:tc>
      </w:tr>
      <w:tr w:rsidR="00F1381E" w14:paraId="44BE4080" w14:textId="209CF25A" w:rsidTr="00933309">
        <w:tc>
          <w:tcPr>
            <w:tcW w:w="2093" w:type="dxa"/>
            <w:tcBorders>
              <w:top w:val="single" w:sz="4" w:space="0" w:color="auto"/>
              <w:bottom w:val="single" w:sz="4" w:space="0" w:color="auto"/>
            </w:tcBorders>
          </w:tcPr>
          <w:p w14:paraId="3B303B52" w14:textId="7B4B75C3" w:rsidR="00F1381E" w:rsidRDefault="00F1381E" w:rsidP="00F1381E">
            <w:r>
              <w:t>Kadastraal Planperceel</w:t>
            </w:r>
          </w:p>
        </w:tc>
        <w:tc>
          <w:tcPr>
            <w:tcW w:w="4918" w:type="dxa"/>
            <w:tcBorders>
              <w:top w:val="single" w:sz="4" w:space="0" w:color="auto"/>
              <w:bottom w:val="single" w:sz="4" w:space="0" w:color="auto"/>
            </w:tcBorders>
          </w:tcPr>
          <w:p w14:paraId="18F1C2D0" w14:textId="77777777" w:rsidR="00F1381E" w:rsidRDefault="00F1381E" w:rsidP="00F1381E">
            <w:r>
              <w:t>Een gedeelte van het Belgische grondgebied, geografisch afgebakend en geïdentificeerd door de</w:t>
            </w:r>
          </w:p>
          <w:p w14:paraId="44607D93" w14:textId="699945D8" w:rsidR="00F1381E" w:rsidRDefault="00F1381E" w:rsidP="00C1489D">
            <w:r>
              <w:t>AAPD op het kadastraal percelenplan, dat overstemt met het grondoppervlak van een of meerdere</w:t>
            </w:r>
            <w:r w:rsidR="00C1489D">
              <w:t xml:space="preserve"> </w:t>
            </w:r>
            <w:r>
              <w:t>kadastrale patrimoniale percelen.</w:t>
            </w:r>
          </w:p>
        </w:tc>
        <w:tc>
          <w:tcPr>
            <w:tcW w:w="3126" w:type="dxa"/>
            <w:tcBorders>
              <w:top w:val="single" w:sz="4" w:space="0" w:color="auto"/>
              <w:bottom w:val="single" w:sz="4" w:space="0" w:color="auto"/>
            </w:tcBorders>
          </w:tcPr>
          <w:p w14:paraId="400A2722" w14:textId="09301D8B" w:rsidR="00F1381E" w:rsidRDefault="00F1381E" w:rsidP="00F1381E">
            <w:r>
              <w:t xml:space="preserve">Bron: AAPD, (2018). </w:t>
            </w:r>
            <w:hyperlink r:id="rId29" w:history="1">
              <w:r w:rsidRPr="00233C88">
                <w:rPr>
                  <w:rStyle w:val="Hyperlink"/>
                </w:rPr>
                <w:t>Dataspecificaties: Kadastraal Percelenplan</w:t>
              </w:r>
            </w:hyperlink>
            <w:r>
              <w:t xml:space="preserve"> pg 3.</w:t>
            </w:r>
          </w:p>
        </w:tc>
      </w:tr>
      <w:tr w:rsidR="00F1381E" w14:paraId="443E6474" w14:textId="608C2548" w:rsidTr="00933309">
        <w:tc>
          <w:tcPr>
            <w:tcW w:w="2093" w:type="dxa"/>
            <w:tcBorders>
              <w:top w:val="single" w:sz="4" w:space="0" w:color="auto"/>
              <w:bottom w:val="single" w:sz="4" w:space="0" w:color="auto"/>
            </w:tcBorders>
          </w:tcPr>
          <w:p w14:paraId="51BD4F02" w14:textId="15EA0CDB" w:rsidR="00F1381E" w:rsidRDefault="00F1381E" w:rsidP="00F1381E">
            <w:r>
              <w:t>Kadastraal Patrimoniumperceel</w:t>
            </w:r>
          </w:p>
        </w:tc>
        <w:tc>
          <w:tcPr>
            <w:tcW w:w="4918" w:type="dxa"/>
            <w:tcBorders>
              <w:top w:val="single" w:sz="4" w:space="0" w:color="auto"/>
              <w:bottom w:val="single" w:sz="4" w:space="0" w:color="auto"/>
            </w:tcBorders>
          </w:tcPr>
          <w:p w14:paraId="668CD7C4" w14:textId="4EFBD93E" w:rsidR="00F1381E" w:rsidRDefault="00F1381E" w:rsidP="00F1381E">
            <w:r>
              <w:t>Een onroerend goed of onroerend recht dat in hoofde van één of meerdere titularissen van een zakelijk recht onderworpen is aan een bepaald eigendomsstatuut.</w:t>
            </w:r>
          </w:p>
        </w:tc>
        <w:tc>
          <w:tcPr>
            <w:tcW w:w="3126" w:type="dxa"/>
            <w:tcBorders>
              <w:top w:val="single" w:sz="4" w:space="0" w:color="auto"/>
              <w:bottom w:val="single" w:sz="4" w:space="0" w:color="auto"/>
            </w:tcBorders>
          </w:tcPr>
          <w:p w14:paraId="7B7F2481" w14:textId="2EC9F565" w:rsidR="00F1381E" w:rsidRDefault="00F1381E" w:rsidP="00F1381E">
            <w:r>
              <w:t xml:space="preserve">Bron: AAPD, (2018). </w:t>
            </w:r>
            <w:hyperlink r:id="rId30" w:history="1">
              <w:r w:rsidRPr="00233C88">
                <w:rPr>
                  <w:rStyle w:val="Hyperlink"/>
                </w:rPr>
                <w:t>Dataspecificaties: Kadastraal Percelenplan</w:t>
              </w:r>
            </w:hyperlink>
            <w:r>
              <w:t xml:space="preserve"> pg 4.</w:t>
            </w:r>
          </w:p>
        </w:tc>
      </w:tr>
      <w:tr w:rsidR="00F1381E" w14:paraId="78671438" w14:textId="57A85189" w:rsidTr="00933309">
        <w:tc>
          <w:tcPr>
            <w:tcW w:w="2093" w:type="dxa"/>
            <w:tcBorders>
              <w:top w:val="single" w:sz="4" w:space="0" w:color="auto"/>
              <w:bottom w:val="single" w:sz="4" w:space="0" w:color="auto"/>
            </w:tcBorders>
          </w:tcPr>
          <w:p w14:paraId="28A07F59" w14:textId="14D7DD50" w:rsidR="00F1381E" w:rsidRDefault="00F1381E" w:rsidP="00F1381E">
            <w:r>
              <w:t>Agent</w:t>
            </w:r>
          </w:p>
        </w:tc>
        <w:tc>
          <w:tcPr>
            <w:tcW w:w="4918" w:type="dxa"/>
            <w:tcBorders>
              <w:top w:val="single" w:sz="4" w:space="0" w:color="auto"/>
              <w:bottom w:val="single" w:sz="4" w:space="0" w:color="auto"/>
            </w:tcBorders>
          </w:tcPr>
          <w:p w14:paraId="30423E91" w14:textId="385213B0" w:rsidR="00F1381E" w:rsidRDefault="00F1381E" w:rsidP="00F1381E">
            <w:r w:rsidRPr="00233C88">
              <w:t>Iemand die of iets dat kan handelen of een effect kan teweeg brengen.</w:t>
            </w:r>
          </w:p>
        </w:tc>
        <w:tc>
          <w:tcPr>
            <w:tcW w:w="3126" w:type="dxa"/>
            <w:tcBorders>
              <w:top w:val="single" w:sz="4" w:space="0" w:color="auto"/>
              <w:bottom w:val="single" w:sz="4" w:space="0" w:color="auto"/>
            </w:tcBorders>
          </w:tcPr>
          <w:p w14:paraId="6F4CEB87" w14:textId="3FCA27AC" w:rsidR="00F1381E" w:rsidRDefault="00F1381E" w:rsidP="00F1381E">
            <w:r>
              <w:t xml:space="preserve">Bron: </w:t>
            </w:r>
            <w:hyperlink r:id="rId31" w:anchor="Agent" w:history="1">
              <w:r w:rsidRPr="00233C88">
                <w:rPr>
                  <w:rStyle w:val="Hyperlink"/>
                </w:rPr>
                <w:t>OSLO Generiek</w:t>
              </w:r>
            </w:hyperlink>
          </w:p>
        </w:tc>
      </w:tr>
      <w:tr w:rsidR="00F1381E" w14:paraId="32AF4EE3" w14:textId="74F4966C" w:rsidTr="00933309">
        <w:tc>
          <w:tcPr>
            <w:tcW w:w="2093" w:type="dxa"/>
            <w:tcBorders>
              <w:top w:val="single" w:sz="4" w:space="0" w:color="auto"/>
              <w:bottom w:val="single" w:sz="4" w:space="0" w:color="auto"/>
            </w:tcBorders>
          </w:tcPr>
          <w:p w14:paraId="257F967E" w14:textId="2AA0CB21" w:rsidR="00F1381E" w:rsidRDefault="00F1381E" w:rsidP="00F1381E">
            <w:r>
              <w:t>Databron</w:t>
            </w:r>
          </w:p>
        </w:tc>
        <w:tc>
          <w:tcPr>
            <w:tcW w:w="4918" w:type="dxa"/>
            <w:tcBorders>
              <w:top w:val="single" w:sz="4" w:space="0" w:color="auto"/>
              <w:bottom w:val="single" w:sz="4" w:space="0" w:color="auto"/>
            </w:tcBorders>
          </w:tcPr>
          <w:p w14:paraId="2ABD13DA" w14:textId="3BB30404" w:rsidR="00F1381E" w:rsidRPr="00E550A1" w:rsidRDefault="00E550A1" w:rsidP="001B6036">
            <w:pPr>
              <w:rPr>
                <w:b/>
                <w:color w:val="FF0000"/>
              </w:rPr>
            </w:pPr>
            <w:r w:rsidRPr="00E550A1">
              <w:rPr>
                <w:b/>
                <w:color w:val="FF0000"/>
              </w:rPr>
              <w:t>Momenteel nog niet gedefinieerd</w:t>
            </w:r>
            <w:r>
              <w:rPr>
                <w:b/>
                <w:color w:val="FF0000"/>
              </w:rPr>
              <w:t xml:space="preserve"> in de werkgroep</w:t>
            </w:r>
          </w:p>
        </w:tc>
        <w:tc>
          <w:tcPr>
            <w:tcW w:w="3126" w:type="dxa"/>
            <w:tcBorders>
              <w:top w:val="single" w:sz="4" w:space="0" w:color="auto"/>
              <w:bottom w:val="single" w:sz="4" w:space="0" w:color="auto"/>
            </w:tcBorders>
          </w:tcPr>
          <w:p w14:paraId="1F606B93" w14:textId="77777777" w:rsidR="00F1381E" w:rsidRDefault="001B6036" w:rsidP="00F1381E">
            <w:r>
              <w:t xml:space="preserve">Discussie over term en definitie werd geparkeerd tijdens de werkgroep. </w:t>
            </w:r>
          </w:p>
          <w:p w14:paraId="33BCC7EA" w14:textId="77777777" w:rsidR="001B6036" w:rsidRDefault="001B6036" w:rsidP="001B6036">
            <w:r>
              <w:t>Het doel is om binnen deze entiteit metadata over de ruimtelijke eenheid mee te geven zoals:</w:t>
            </w:r>
          </w:p>
          <w:p w14:paraId="02F70270" w14:textId="77777777" w:rsidR="001B6036" w:rsidRDefault="001B6036" w:rsidP="001B6036">
            <w:r>
              <w:t>- Timestamp</w:t>
            </w:r>
          </w:p>
          <w:p w14:paraId="02E83906" w14:textId="77777777" w:rsidR="001B6036" w:rsidRDefault="001B6036" w:rsidP="001B6036">
            <w:r>
              <w:t>- Beheerder van de data</w:t>
            </w:r>
          </w:p>
          <w:p w14:paraId="19498ADE" w14:textId="77777777" w:rsidR="001B6036" w:rsidRDefault="001B6036" w:rsidP="001B6036">
            <w:r>
              <w:t>- Nauwkeurigheid</w:t>
            </w:r>
          </w:p>
          <w:p w14:paraId="663B9B27" w14:textId="7961B4AE" w:rsidR="001B6036" w:rsidRDefault="001B6036" w:rsidP="001B6036">
            <w:r>
              <w:t>- Opmetingsprocedure</w:t>
            </w:r>
            <w:r w:rsidR="00C1489D">
              <w:t>...</w:t>
            </w:r>
          </w:p>
        </w:tc>
      </w:tr>
      <w:tr w:rsidR="00F1381E" w14:paraId="547680E6" w14:textId="17BC12FE" w:rsidTr="00933309">
        <w:tc>
          <w:tcPr>
            <w:tcW w:w="2093" w:type="dxa"/>
            <w:tcBorders>
              <w:top w:val="single" w:sz="4" w:space="0" w:color="auto"/>
              <w:bottom w:val="single" w:sz="4" w:space="0" w:color="auto"/>
            </w:tcBorders>
          </w:tcPr>
          <w:p w14:paraId="0A723941" w14:textId="3F66474D" w:rsidR="00F1381E" w:rsidRDefault="00F1381E" w:rsidP="00B508E1">
            <w:r>
              <w:t>Type</w:t>
            </w:r>
            <w:r w:rsidR="00B508E1">
              <w:t>/Categorie</w:t>
            </w:r>
          </w:p>
        </w:tc>
        <w:tc>
          <w:tcPr>
            <w:tcW w:w="4918" w:type="dxa"/>
            <w:tcBorders>
              <w:top w:val="single" w:sz="4" w:space="0" w:color="auto"/>
              <w:bottom w:val="single" w:sz="4" w:space="0" w:color="auto"/>
            </w:tcBorders>
          </w:tcPr>
          <w:p w14:paraId="5B0B1D79" w14:textId="6267DCD6" w:rsidR="00F1381E" w:rsidRPr="00E550A1" w:rsidRDefault="00E550A1" w:rsidP="00F1381E">
            <w:pPr>
              <w:rPr>
                <w:b/>
                <w:color w:val="FF0000"/>
              </w:rPr>
            </w:pPr>
            <w:r w:rsidRPr="00E550A1">
              <w:rPr>
                <w:b/>
                <w:color w:val="FF0000"/>
              </w:rPr>
              <w:t>Momenteel nog niet gedefinieerd</w:t>
            </w:r>
            <w:r>
              <w:rPr>
                <w:b/>
                <w:color w:val="FF0000"/>
              </w:rPr>
              <w:t xml:space="preserve"> in de werkgroep</w:t>
            </w:r>
          </w:p>
        </w:tc>
        <w:tc>
          <w:tcPr>
            <w:tcW w:w="3126" w:type="dxa"/>
            <w:tcBorders>
              <w:top w:val="single" w:sz="4" w:space="0" w:color="auto"/>
              <w:bottom w:val="single" w:sz="4" w:space="0" w:color="auto"/>
            </w:tcBorders>
          </w:tcPr>
          <w:p w14:paraId="25315C5D" w14:textId="2EE35E9B" w:rsidR="00F1381E" w:rsidRDefault="00B508E1" w:rsidP="00E550A1">
            <w:r>
              <w:t xml:space="preserve">Analoog aan de </w:t>
            </w:r>
            <w:r w:rsidR="00E550A1">
              <w:t>logica voor</w:t>
            </w:r>
            <w:r>
              <w:t xml:space="preserve"> ‘Land use’ te vinden in Annex K van </w:t>
            </w:r>
            <w:hyperlink r:id="rId32" w:history="1">
              <w:r w:rsidRPr="00E550A1">
                <w:rPr>
                  <w:rStyle w:val="Hyperlink"/>
                </w:rPr>
                <w:t>LADM</w:t>
              </w:r>
            </w:hyperlink>
            <w:r>
              <w:t xml:space="preserve">. </w:t>
            </w:r>
            <w:r w:rsidR="00E550A1">
              <w:t xml:space="preserve">Tijdens de werkgroep werd aangegeven dat de term ‘Landgebruik’ echter te eng is. </w:t>
            </w:r>
          </w:p>
        </w:tc>
      </w:tr>
      <w:tr w:rsidR="00F1381E" w14:paraId="6CE0E90A" w14:textId="71B11733" w:rsidTr="00933309">
        <w:tc>
          <w:tcPr>
            <w:tcW w:w="2093" w:type="dxa"/>
            <w:tcBorders>
              <w:top w:val="single" w:sz="4" w:space="0" w:color="auto"/>
              <w:bottom w:val="single" w:sz="4" w:space="0" w:color="auto"/>
            </w:tcBorders>
          </w:tcPr>
          <w:p w14:paraId="613BDE81" w14:textId="4786FD97" w:rsidR="00F1381E" w:rsidRDefault="00E550A1" w:rsidP="00F1381E">
            <w:r>
              <w:t>Zakelijk recht</w:t>
            </w:r>
          </w:p>
        </w:tc>
        <w:tc>
          <w:tcPr>
            <w:tcW w:w="4918" w:type="dxa"/>
            <w:tcBorders>
              <w:top w:val="single" w:sz="4" w:space="0" w:color="auto"/>
              <w:bottom w:val="single" w:sz="4" w:space="0" w:color="auto"/>
            </w:tcBorders>
          </w:tcPr>
          <w:p w14:paraId="50D3EABB" w14:textId="772CB97C" w:rsidR="00F1381E" w:rsidRDefault="00E550A1" w:rsidP="00F1381E">
            <w:r w:rsidRPr="00E550A1">
              <w:t>Een Zakelijk recht kan zijn: eigendomsrecht, vruchtgebruik, erfpacht, opstal, recht van gebruik en</w:t>
            </w:r>
            <w:r>
              <w:t xml:space="preserve"> bewoning of erfdienstbaarheid</w:t>
            </w:r>
          </w:p>
        </w:tc>
        <w:tc>
          <w:tcPr>
            <w:tcW w:w="3126" w:type="dxa"/>
            <w:tcBorders>
              <w:top w:val="single" w:sz="4" w:space="0" w:color="auto"/>
              <w:bottom w:val="single" w:sz="4" w:space="0" w:color="auto"/>
            </w:tcBorders>
          </w:tcPr>
          <w:p w14:paraId="70965401" w14:textId="1E9B3E51" w:rsidR="00E550A1" w:rsidRDefault="00E550A1" w:rsidP="00F1381E">
            <w:r>
              <w:t xml:space="preserve">Bron: </w:t>
            </w:r>
            <w:hyperlink r:id="rId33" w:history="1">
              <w:r w:rsidRPr="00E550A1">
                <w:rPr>
                  <w:rStyle w:val="Hyperlink"/>
                </w:rPr>
                <w:t>Vlaamse Overheid</w:t>
              </w:r>
            </w:hyperlink>
          </w:p>
          <w:p w14:paraId="31D4014E" w14:textId="50807DCD" w:rsidR="00E550A1" w:rsidRDefault="00E550A1" w:rsidP="00F1381E">
            <w:r>
              <w:t>Erfdienstbaarheid behoort mogelijks niet tot een zakelijk recht zoals het voorkomt in het kadaster.</w:t>
            </w:r>
          </w:p>
        </w:tc>
      </w:tr>
      <w:tr w:rsidR="00E550A1" w14:paraId="177D6BFA" w14:textId="77777777" w:rsidTr="00933309">
        <w:tc>
          <w:tcPr>
            <w:tcW w:w="2093" w:type="dxa"/>
            <w:tcBorders>
              <w:top w:val="single" w:sz="4" w:space="0" w:color="auto"/>
              <w:bottom w:val="single" w:sz="4" w:space="0" w:color="auto"/>
            </w:tcBorders>
          </w:tcPr>
          <w:p w14:paraId="65ED85B7" w14:textId="732F6F48" w:rsidR="00E550A1" w:rsidRDefault="00E550A1" w:rsidP="00F1381E">
            <w:r>
              <w:t>Recht</w:t>
            </w:r>
          </w:p>
        </w:tc>
        <w:tc>
          <w:tcPr>
            <w:tcW w:w="4918" w:type="dxa"/>
            <w:tcBorders>
              <w:top w:val="single" w:sz="4" w:space="0" w:color="auto"/>
              <w:bottom w:val="single" w:sz="4" w:space="0" w:color="auto"/>
            </w:tcBorders>
          </w:tcPr>
          <w:p w14:paraId="642FB5AA" w14:textId="428BA557" w:rsidR="00E550A1" w:rsidRPr="00E550A1" w:rsidRDefault="00E550A1" w:rsidP="00F1381E">
            <w:r w:rsidRPr="00E550A1">
              <w:t>Actie, activiteit of verzameling van acties dat een systeemparticipant mag uitvoeren of mag gebruik maken van een geassocieerde resource</w:t>
            </w:r>
          </w:p>
        </w:tc>
        <w:tc>
          <w:tcPr>
            <w:tcW w:w="3126" w:type="dxa"/>
            <w:tcBorders>
              <w:top w:val="single" w:sz="4" w:space="0" w:color="auto"/>
              <w:bottom w:val="single" w:sz="4" w:space="0" w:color="auto"/>
            </w:tcBorders>
          </w:tcPr>
          <w:p w14:paraId="15592216" w14:textId="247A54C7" w:rsidR="00E550A1" w:rsidRDefault="00E550A1" w:rsidP="00F1381E">
            <w:r>
              <w:t xml:space="preserve">Bron: </w:t>
            </w:r>
            <w:hyperlink r:id="rId34" w:history="1">
              <w:r w:rsidRPr="00E550A1">
                <w:rPr>
                  <w:rStyle w:val="Hyperlink"/>
                </w:rPr>
                <w:t>LADM</w:t>
              </w:r>
            </w:hyperlink>
          </w:p>
        </w:tc>
      </w:tr>
      <w:tr w:rsidR="00E550A1" w14:paraId="712D8295" w14:textId="77777777" w:rsidTr="00933309">
        <w:tc>
          <w:tcPr>
            <w:tcW w:w="2093" w:type="dxa"/>
            <w:tcBorders>
              <w:top w:val="single" w:sz="4" w:space="0" w:color="auto"/>
              <w:bottom w:val="single" w:sz="4" w:space="0" w:color="auto"/>
            </w:tcBorders>
          </w:tcPr>
          <w:p w14:paraId="41669F0B" w14:textId="6FD880CC" w:rsidR="00E550A1" w:rsidRDefault="00E550A1" w:rsidP="00F1381E">
            <w:r>
              <w:t>Restrictie</w:t>
            </w:r>
          </w:p>
        </w:tc>
        <w:tc>
          <w:tcPr>
            <w:tcW w:w="4918" w:type="dxa"/>
            <w:tcBorders>
              <w:top w:val="single" w:sz="4" w:space="0" w:color="auto"/>
              <w:bottom w:val="single" w:sz="4" w:space="0" w:color="auto"/>
            </w:tcBorders>
          </w:tcPr>
          <w:p w14:paraId="18F03EF1" w14:textId="18FB5B6E" w:rsidR="00E550A1" w:rsidRPr="00E550A1" w:rsidRDefault="00E550A1" w:rsidP="00F1381E">
            <w:r>
              <w:t>Formele of informele verplichting om zich te weerhouden van iets te doen</w:t>
            </w:r>
          </w:p>
        </w:tc>
        <w:tc>
          <w:tcPr>
            <w:tcW w:w="3126" w:type="dxa"/>
            <w:tcBorders>
              <w:top w:val="single" w:sz="4" w:space="0" w:color="auto"/>
              <w:bottom w:val="single" w:sz="4" w:space="0" w:color="auto"/>
            </w:tcBorders>
          </w:tcPr>
          <w:p w14:paraId="53AB6423" w14:textId="371ACCAF" w:rsidR="00E550A1" w:rsidRDefault="00E550A1" w:rsidP="00F1381E">
            <w:r>
              <w:t xml:space="preserve">Bron: </w:t>
            </w:r>
            <w:hyperlink r:id="rId35" w:history="1">
              <w:r w:rsidRPr="00E550A1">
                <w:rPr>
                  <w:rStyle w:val="Hyperlink"/>
                </w:rPr>
                <w:t>LADM</w:t>
              </w:r>
            </w:hyperlink>
          </w:p>
        </w:tc>
      </w:tr>
      <w:tr w:rsidR="00E550A1" w14:paraId="073C4322" w14:textId="77777777" w:rsidTr="00933309">
        <w:tc>
          <w:tcPr>
            <w:tcW w:w="2093" w:type="dxa"/>
            <w:tcBorders>
              <w:top w:val="single" w:sz="4" w:space="0" w:color="auto"/>
            </w:tcBorders>
          </w:tcPr>
          <w:p w14:paraId="4ED7F960" w14:textId="2F411F37" w:rsidR="00E550A1" w:rsidRDefault="00E550A1" w:rsidP="00F1381E">
            <w:r>
              <w:t>Verantwoordelijkheid</w:t>
            </w:r>
          </w:p>
        </w:tc>
        <w:tc>
          <w:tcPr>
            <w:tcW w:w="4918" w:type="dxa"/>
            <w:tcBorders>
              <w:top w:val="single" w:sz="4" w:space="0" w:color="auto"/>
            </w:tcBorders>
          </w:tcPr>
          <w:p w14:paraId="4E86C066" w14:textId="2738AE4C" w:rsidR="00E550A1" w:rsidRPr="00E550A1" w:rsidRDefault="00E550A1" w:rsidP="00F1381E">
            <w:r>
              <w:t>Formele of informele verplichting om iets te doen</w:t>
            </w:r>
          </w:p>
        </w:tc>
        <w:tc>
          <w:tcPr>
            <w:tcW w:w="3126" w:type="dxa"/>
            <w:tcBorders>
              <w:top w:val="single" w:sz="4" w:space="0" w:color="auto"/>
            </w:tcBorders>
          </w:tcPr>
          <w:p w14:paraId="228FF1CE" w14:textId="5617DA32" w:rsidR="00E550A1" w:rsidRDefault="00E550A1" w:rsidP="00F1381E">
            <w:r>
              <w:t xml:space="preserve">Bron: </w:t>
            </w:r>
            <w:hyperlink r:id="rId36" w:history="1">
              <w:r w:rsidRPr="00E550A1">
                <w:rPr>
                  <w:rStyle w:val="Hyperlink"/>
                </w:rPr>
                <w:t>LADM</w:t>
              </w:r>
            </w:hyperlink>
          </w:p>
        </w:tc>
      </w:tr>
    </w:tbl>
    <w:p w14:paraId="1CD01781" w14:textId="12903B23" w:rsidR="00D058EF" w:rsidRPr="00CA63CE" w:rsidRDefault="00D058EF" w:rsidP="00D058EF">
      <w:pPr>
        <w:rPr>
          <w:i/>
        </w:rPr>
      </w:pPr>
      <w:r w:rsidRPr="00CA63CE">
        <w:rPr>
          <w:i/>
        </w:rPr>
        <w:lastRenderedPageBreak/>
        <w:t>Additionele feedback</w:t>
      </w:r>
    </w:p>
    <w:p w14:paraId="4302B27D" w14:textId="55BAFAB5" w:rsidR="00D058EF" w:rsidRDefault="00D058EF" w:rsidP="00D058EF">
      <w:r w:rsidRPr="00D058EF">
        <w:t xml:space="preserve">Tijdens de </w:t>
      </w:r>
      <w:r w:rsidR="00933309">
        <w:t xml:space="preserve">tweede </w:t>
      </w:r>
      <w:r w:rsidRPr="00D058EF">
        <w:t xml:space="preserve">thematische werkgroep zijn verschillende discussies aan bod gekomen waarvan de input hierboven is opgenomen. Mochten er bepaalde elementen nog ontbreken in dit verslag mogen deze altijd doorgestuurd worden naar het volgende e-mailadres: </w:t>
      </w:r>
      <w:hyperlink r:id="rId37" w:history="1">
        <w:r w:rsidRPr="006A27F3">
          <w:rPr>
            <w:rStyle w:val="Hyperlink"/>
          </w:rPr>
          <w:t>kevin.haleydt@kb.vlaanderen.be</w:t>
        </w:r>
      </w:hyperlink>
    </w:p>
    <w:p w14:paraId="2D0735AC" w14:textId="3058C647" w:rsidR="009D23BD" w:rsidRDefault="007608B3" w:rsidP="007608B3">
      <w:pPr>
        <w:pStyle w:val="Heading1"/>
        <w:numPr>
          <w:ilvl w:val="0"/>
          <w:numId w:val="5"/>
        </w:numPr>
        <w:ind w:hanging="432"/>
        <w:jc w:val="both"/>
      </w:pPr>
      <w:r>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4EDE2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6556FB5" w:rsidP="002A3081">
            <w:pPr>
              <w:jc w:val="both"/>
            </w:pPr>
            <w:r>
              <w:t>Onderwerp</w:t>
            </w:r>
          </w:p>
        </w:tc>
        <w:tc>
          <w:tcPr>
            <w:tcW w:w="1284" w:type="dxa"/>
          </w:tcPr>
          <w:p w14:paraId="7FB89111" w14:textId="403D6EE2" w:rsidR="007608B3" w:rsidRPr="00C10499" w:rsidRDefault="6972B228" w:rsidP="002A3081">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2A3081">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4EDE2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49B1AA2C" w:rsidR="007608B3" w:rsidRPr="00C10499" w:rsidRDefault="00BE0764" w:rsidP="000C132E">
            <w:pPr>
              <w:jc w:val="both"/>
              <w:rPr>
                <w:b w:val="0"/>
              </w:rPr>
            </w:pPr>
            <w:r>
              <w:rPr>
                <w:b w:val="0"/>
              </w:rPr>
              <w:t>Is het gewenst om het 3D karakter van de definitie voor Ruimtelijke Eenheid te behouden?</w:t>
            </w:r>
          </w:p>
        </w:tc>
        <w:tc>
          <w:tcPr>
            <w:tcW w:w="1284" w:type="dxa"/>
          </w:tcPr>
          <w:p w14:paraId="658600E9" w14:textId="47CE68D5" w:rsidR="007608B3" w:rsidRDefault="00BE0764" w:rsidP="002A3081">
            <w:pPr>
              <w:jc w:val="both"/>
              <w:cnfStyle w:val="000000100000" w:firstRow="0" w:lastRow="0" w:firstColumn="0" w:lastColumn="0" w:oddVBand="0" w:evenVBand="0" w:oddHBand="1" w:evenHBand="0" w:firstRowFirstColumn="0" w:firstRowLastColumn="0" w:lastRowFirstColumn="0" w:lastRowLastColumn="0"/>
            </w:pPr>
            <w:r>
              <w:t>Decision</w:t>
            </w:r>
          </w:p>
        </w:tc>
        <w:tc>
          <w:tcPr>
            <w:tcW w:w="1491" w:type="dxa"/>
          </w:tcPr>
          <w:p w14:paraId="60DDEAC5" w14:textId="5445C7AD" w:rsidR="007608B3" w:rsidRDefault="00BE0764" w:rsidP="002A3081">
            <w:pPr>
              <w:jc w:val="both"/>
              <w:cnfStyle w:val="000000100000" w:firstRow="0" w:lastRow="0" w:firstColumn="0" w:lastColumn="0" w:oddVBand="0" w:evenVBand="0" w:oddHBand="1" w:evenHBand="0" w:firstRowFirstColumn="0" w:firstRowLastColumn="0" w:lastRowFirstColumn="0" w:lastRowLastColumn="0"/>
            </w:pPr>
            <w:r>
              <w:t>Werkgroep</w:t>
            </w:r>
          </w:p>
        </w:tc>
      </w:tr>
      <w:tr w:rsidR="00476ACF" w14:paraId="78E11776" w14:textId="77777777" w:rsidTr="4EDE2781">
        <w:tc>
          <w:tcPr>
            <w:cnfStyle w:val="001000000000" w:firstRow="0" w:lastRow="0" w:firstColumn="1" w:lastColumn="0" w:oddVBand="0" w:evenVBand="0" w:oddHBand="0" w:evenHBand="0" w:firstRowFirstColumn="0" w:firstRowLastColumn="0" w:lastRowFirstColumn="0" w:lastRowLastColumn="0"/>
            <w:tcW w:w="7362" w:type="dxa"/>
          </w:tcPr>
          <w:p w14:paraId="74118773" w14:textId="183F1F2E" w:rsidR="00476ACF" w:rsidRDefault="00476ACF" w:rsidP="00476ACF">
            <w:pPr>
              <w:jc w:val="both"/>
            </w:pPr>
            <w:r>
              <w:rPr>
                <w:b w:val="0"/>
                <w:bCs w:val="0"/>
              </w:rPr>
              <w:t>Nalezen van de voorgestelde termen (Databron, type/categorie) &amp; definities (Hoofdstuk 2.3 in verslag) en waar nodig feedback aanleveren.</w:t>
            </w:r>
          </w:p>
        </w:tc>
        <w:tc>
          <w:tcPr>
            <w:tcW w:w="1284" w:type="dxa"/>
          </w:tcPr>
          <w:p w14:paraId="5F863359" w14:textId="61A52A58" w:rsidR="00476ACF" w:rsidRDefault="00476ACF" w:rsidP="00476ACF">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3A6CBED0" w14:textId="2877D550" w:rsidR="00476ACF" w:rsidRDefault="00476ACF" w:rsidP="00476ACF">
            <w:pPr>
              <w:jc w:val="both"/>
              <w:cnfStyle w:val="000000000000" w:firstRow="0" w:lastRow="0" w:firstColumn="0" w:lastColumn="0" w:oddVBand="0" w:evenVBand="0" w:oddHBand="0" w:evenHBand="0" w:firstRowFirstColumn="0" w:firstRowLastColumn="0" w:lastRowFirstColumn="0" w:lastRowLastColumn="0"/>
            </w:pPr>
            <w:r>
              <w:t>Werkgroep</w:t>
            </w:r>
          </w:p>
        </w:tc>
      </w:tr>
      <w:tr w:rsidR="00476ACF" w14:paraId="54B057EC" w14:textId="77777777" w:rsidTr="4EDE2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0C952D38" w14:textId="26A4848B" w:rsidR="00476ACF" w:rsidRPr="00883718" w:rsidRDefault="00476ACF" w:rsidP="00476ACF">
            <w:pPr>
              <w:jc w:val="both"/>
              <w:rPr>
                <w:b w:val="0"/>
                <w:bCs w:val="0"/>
              </w:rPr>
            </w:pPr>
            <w:r>
              <w:rPr>
                <w:b w:val="0"/>
                <w:bCs w:val="0"/>
              </w:rPr>
              <w:t>Kan een Ruimtelijke Eenheid tot verschillende types/categoriëen tegelijk behoren?</w:t>
            </w:r>
          </w:p>
        </w:tc>
        <w:tc>
          <w:tcPr>
            <w:tcW w:w="1284" w:type="dxa"/>
          </w:tcPr>
          <w:p w14:paraId="51F48127" w14:textId="12BA94FC" w:rsidR="00476ACF" w:rsidRDefault="00476ACF" w:rsidP="00476ACF">
            <w:pPr>
              <w:jc w:val="both"/>
              <w:cnfStyle w:val="000000100000" w:firstRow="0" w:lastRow="0" w:firstColumn="0" w:lastColumn="0" w:oddVBand="0" w:evenVBand="0" w:oddHBand="1" w:evenHBand="0" w:firstRowFirstColumn="0" w:firstRowLastColumn="0" w:lastRowFirstColumn="0" w:lastRowLastColumn="0"/>
            </w:pPr>
            <w:r>
              <w:t>Decision</w:t>
            </w:r>
          </w:p>
        </w:tc>
        <w:tc>
          <w:tcPr>
            <w:tcW w:w="1491" w:type="dxa"/>
          </w:tcPr>
          <w:p w14:paraId="2C0B9DC5" w14:textId="1718F474" w:rsidR="00476ACF" w:rsidRDefault="00476ACF" w:rsidP="00476ACF">
            <w:pPr>
              <w:jc w:val="both"/>
              <w:cnfStyle w:val="000000100000" w:firstRow="0" w:lastRow="0" w:firstColumn="0" w:lastColumn="0" w:oddVBand="0" w:evenVBand="0" w:oddHBand="1" w:evenHBand="0" w:firstRowFirstColumn="0" w:firstRowLastColumn="0" w:lastRowFirstColumn="0" w:lastRowLastColumn="0"/>
            </w:pPr>
            <w:r>
              <w:t>Werkgroep</w:t>
            </w:r>
          </w:p>
        </w:tc>
      </w:tr>
    </w:tbl>
    <w:p w14:paraId="062E2911" w14:textId="6512D472" w:rsidR="00C81315" w:rsidRDefault="00C81315" w:rsidP="00C81315">
      <w:pPr>
        <w:pStyle w:val="Heading1"/>
        <w:numPr>
          <w:ilvl w:val="0"/>
          <w:numId w:val="5"/>
        </w:numPr>
        <w:ind w:hanging="432"/>
        <w:jc w:val="both"/>
      </w:pPr>
      <w:r>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2A3081">
            <w:pPr>
              <w:jc w:val="both"/>
            </w:pPr>
            <w:r>
              <w:t>Werkgroep</w:t>
            </w:r>
          </w:p>
        </w:tc>
        <w:tc>
          <w:tcPr>
            <w:tcW w:w="1134" w:type="dxa"/>
            <w:shd w:val="clear" w:color="auto" w:fill="D9D9D9" w:themeFill="background1" w:themeFillShade="D9"/>
          </w:tcPr>
          <w:p w14:paraId="12DBA182" w14:textId="47402AC4"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2FDE9916"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D7E0ED7" w14:textId="1D9C4E90" w:rsidR="00C81315" w:rsidRPr="00C10499" w:rsidRDefault="00786E85" w:rsidP="002A3081">
            <w:pPr>
              <w:jc w:val="both"/>
              <w:rPr>
                <w:b w:val="0"/>
              </w:rPr>
            </w:pPr>
            <w:r>
              <w:rPr>
                <w:b w:val="0"/>
              </w:rPr>
              <w:t>Thematische werkgroep 3 OSLO Percelen</w:t>
            </w:r>
          </w:p>
        </w:tc>
        <w:tc>
          <w:tcPr>
            <w:tcW w:w="1134" w:type="dxa"/>
          </w:tcPr>
          <w:p w14:paraId="580C07CD" w14:textId="4DB662F6"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12-Jun-19</w:t>
            </w:r>
          </w:p>
        </w:tc>
        <w:tc>
          <w:tcPr>
            <w:tcW w:w="1275" w:type="dxa"/>
          </w:tcPr>
          <w:p w14:paraId="24553250" w14:textId="3B2BE23F"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09h - 12h</w:t>
            </w:r>
          </w:p>
        </w:tc>
        <w:tc>
          <w:tcPr>
            <w:tcW w:w="2113" w:type="dxa"/>
          </w:tcPr>
          <w:p w14:paraId="3D41FA7F" w14:textId="1ED60C99"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VAC Gent - 00.01 - Karel Waeri</w:t>
            </w:r>
          </w:p>
        </w:tc>
        <w:tc>
          <w:tcPr>
            <w:tcW w:w="1679" w:type="dxa"/>
          </w:tcPr>
          <w:p w14:paraId="60942F11" w14:textId="334826ED" w:rsidR="00C81315" w:rsidRDefault="00BB3D44" w:rsidP="002A3081">
            <w:pPr>
              <w:jc w:val="both"/>
              <w:cnfStyle w:val="000000100000" w:firstRow="0" w:lastRow="0" w:firstColumn="0" w:lastColumn="0" w:oddVBand="0" w:evenVBand="0" w:oddHBand="1" w:evenHBand="0" w:firstRowFirstColumn="0" w:firstRowLastColumn="0" w:lastRowFirstColumn="0" w:lastRowLastColumn="0"/>
            </w:pPr>
            <w:hyperlink r:id="rId38" w:history="1">
              <w:r w:rsidR="00786E85" w:rsidRPr="00786E85">
                <w:rPr>
                  <w:rStyle w:val="Hyperlink"/>
                </w:rPr>
                <w:t>LINK</w:t>
              </w:r>
            </w:hyperlink>
          </w:p>
        </w:tc>
      </w:tr>
      <w:tr w:rsidR="00C81315" w14:paraId="4F0DC8E5" w14:textId="77777777" w:rsidTr="00786E85">
        <w:tc>
          <w:tcPr>
            <w:cnfStyle w:val="001000000000" w:firstRow="0" w:lastRow="0" w:firstColumn="1" w:lastColumn="0" w:oddVBand="0" w:evenVBand="0" w:oddHBand="0" w:evenHBand="0" w:firstRowFirstColumn="0" w:firstRowLastColumn="0" w:lastRowFirstColumn="0" w:lastRowLastColumn="0"/>
            <w:tcW w:w="3936" w:type="dxa"/>
          </w:tcPr>
          <w:p w14:paraId="09A3A8C7" w14:textId="3718D31C" w:rsidR="00C81315" w:rsidRPr="00C10499" w:rsidRDefault="00786E85" w:rsidP="002A3081">
            <w:pPr>
              <w:jc w:val="both"/>
              <w:rPr>
                <w:b w:val="0"/>
              </w:rPr>
            </w:pPr>
            <w:r>
              <w:rPr>
                <w:b w:val="0"/>
              </w:rPr>
              <w:t>Thematische werkgroep 4 OSLO Percelen</w:t>
            </w:r>
          </w:p>
        </w:tc>
        <w:tc>
          <w:tcPr>
            <w:tcW w:w="1134" w:type="dxa"/>
          </w:tcPr>
          <w:p w14:paraId="668E8E37" w14:textId="09B6FBAB"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26-Jun-19</w:t>
            </w:r>
          </w:p>
        </w:tc>
        <w:tc>
          <w:tcPr>
            <w:tcW w:w="1275" w:type="dxa"/>
          </w:tcPr>
          <w:p w14:paraId="5ADEF115" w14:textId="693F5AEA"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09h - 12h</w:t>
            </w:r>
          </w:p>
        </w:tc>
        <w:tc>
          <w:tcPr>
            <w:tcW w:w="2113" w:type="dxa"/>
          </w:tcPr>
          <w:p w14:paraId="06F67F33" w14:textId="077294C6"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VAC Gent - 04.05 - Corneel Heymans</w:t>
            </w:r>
          </w:p>
        </w:tc>
        <w:tc>
          <w:tcPr>
            <w:tcW w:w="1679" w:type="dxa"/>
          </w:tcPr>
          <w:p w14:paraId="05F2CF77" w14:textId="1142EAA7" w:rsidR="00C81315" w:rsidRDefault="00BB3D44" w:rsidP="002A3081">
            <w:pPr>
              <w:jc w:val="both"/>
              <w:cnfStyle w:val="000000000000" w:firstRow="0" w:lastRow="0" w:firstColumn="0" w:lastColumn="0" w:oddVBand="0" w:evenVBand="0" w:oddHBand="0" w:evenHBand="0" w:firstRowFirstColumn="0" w:firstRowLastColumn="0" w:lastRowFirstColumn="0" w:lastRowLastColumn="0"/>
            </w:pPr>
            <w:hyperlink r:id="rId39"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77777777" w:rsidR="007608B3" w:rsidRPr="00C81315" w:rsidRDefault="007608B3" w:rsidP="007608B3">
      <w:pPr>
        <w:rPr>
          <w:lang w:val="en-US"/>
        </w:rPr>
      </w:pPr>
    </w:p>
    <w:sectPr w:rsidR="007608B3" w:rsidRPr="00C81315">
      <w:type w:val="continuous"/>
      <w:pgSz w:w="11906" w:h="16838"/>
      <w:pgMar w:top="2211" w:right="851" w:bottom="2552" w:left="1134" w:header="0" w:footer="720" w:gutter="0"/>
      <w:cols w:space="720"/>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Id w16cid:paraId="0C679411" w16cid:durableId="08352C54"/>
  <w16cid:commentId w16cid:paraId="58DC465D" w16cid:durableId="15176716"/>
  <w16cid:commentId w16cid:paraId="34B3D327" w16cid:durableId="4812AA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C8008" w14:textId="77777777" w:rsidR="00E5629E" w:rsidRDefault="00E5629E">
      <w:pPr>
        <w:spacing w:before="0" w:after="0" w:line="240" w:lineRule="auto"/>
      </w:pPr>
      <w:r>
        <w:separator/>
      </w:r>
    </w:p>
  </w:endnote>
  <w:endnote w:type="continuationSeparator" w:id="0">
    <w:p w14:paraId="6C58FD1C" w14:textId="77777777" w:rsidR="00E5629E" w:rsidRDefault="00E562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9D23BD" w:rsidRPr="00913113" w:rsidRDefault="004C1B2B">
    <w:pPr>
      <w:tabs>
        <w:tab w:val="right" w:pos="9923"/>
      </w:tabs>
      <w:spacing w:line="240" w:lineRule="auto"/>
    </w:pPr>
    <w:r w:rsidRPr="00913113">
      <w:rPr>
        <w:b/>
        <w:color w:val="373636"/>
        <w:sz w:val="16"/>
        <w:szCs w:val="16"/>
      </w:rPr>
      <w:t>////////////////////////////////////////////////////////////////////////////////////////////////////////////////////////////////////////////////</w:t>
    </w:r>
  </w:p>
  <w:p w14:paraId="72A3D3EC" w14:textId="77777777" w:rsidR="009D23BD" w:rsidRPr="00913113" w:rsidRDefault="009D23BD">
    <w:pPr>
      <w:tabs>
        <w:tab w:val="right" w:pos="9923"/>
      </w:tabs>
      <w:spacing w:line="240" w:lineRule="auto"/>
    </w:pPr>
  </w:p>
  <w:p w14:paraId="54250981" w14:textId="6114A6B3" w:rsidR="009D23BD" w:rsidRPr="00F02A65" w:rsidRDefault="004C1B2B">
    <w:pPr>
      <w:tabs>
        <w:tab w:val="right" w:pos="9923"/>
      </w:tabs>
      <w:spacing w:line="240" w:lineRule="auto"/>
    </w:pPr>
    <w:r w:rsidRPr="00F02A65">
      <w:rPr>
        <w:color w:val="373636"/>
        <w:sz w:val="16"/>
        <w:szCs w:val="16"/>
      </w:rPr>
      <w:t xml:space="preserve">/Verslag </w:t>
    </w:r>
    <w:r w:rsidR="00F02A65" w:rsidRPr="00F02A65">
      <w:rPr>
        <w:color w:val="373636"/>
        <w:sz w:val="16"/>
        <w:szCs w:val="16"/>
      </w:rPr>
      <w:t xml:space="preserve">Thematische werkgroep 1 OSLO Percelen </w:t>
    </w:r>
    <w:r w:rsidRPr="00F02A65">
      <w:rPr>
        <w:color w:val="373636"/>
        <w:sz w:val="16"/>
        <w:szCs w:val="16"/>
      </w:rPr>
      <w:t xml:space="preserve">/ </w:t>
    </w:r>
    <w:r w:rsidRPr="00F02A65">
      <w:rPr>
        <w:b/>
        <w:color w:val="373636"/>
        <w:sz w:val="16"/>
        <w:szCs w:val="16"/>
      </w:rPr>
      <w:t>///</w:t>
    </w:r>
    <w:r w:rsidR="001F6EDF" w:rsidRPr="00F02A65">
      <w:rPr>
        <w:color w:val="373636"/>
        <w:sz w:val="16"/>
        <w:szCs w:val="16"/>
      </w:rPr>
      <w:t xml:space="preserve"> </w:t>
    </w:r>
    <w:r w:rsidR="00F02A65">
      <w:rPr>
        <w:color w:val="373636"/>
        <w:sz w:val="16"/>
        <w:szCs w:val="16"/>
      </w:rPr>
      <w:t>05.04</w:t>
    </w:r>
    <w:r w:rsidRPr="00F02A65">
      <w:rPr>
        <w:color w:val="373636"/>
        <w:sz w:val="16"/>
        <w:szCs w:val="16"/>
      </w:rPr>
      <w:t>.1</w:t>
    </w:r>
    <w:r w:rsidR="001F6EDF" w:rsidRPr="00F02A65">
      <w:rPr>
        <w:color w:val="373636"/>
        <w:sz w:val="16"/>
        <w:szCs w:val="16"/>
      </w:rPr>
      <w:t>9</w:t>
    </w:r>
    <w:r w:rsidRPr="00F02A65">
      <w:rPr>
        <w:color w:val="373636"/>
        <w:sz w:val="16"/>
        <w:szCs w:val="16"/>
      </w:rPr>
      <w:tab/>
    </w:r>
    <w:r>
      <w:fldChar w:fldCharType="begin"/>
    </w:r>
    <w:r w:rsidRPr="00F02A65">
      <w:instrText>PAGE</w:instrText>
    </w:r>
    <w:r>
      <w:fldChar w:fldCharType="separate"/>
    </w:r>
    <w:r w:rsidR="00BB3D44">
      <w:rPr>
        <w:noProof/>
      </w:rPr>
      <w:t>8</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BB3D44">
      <w:rPr>
        <w:noProof/>
      </w:rPr>
      <w:t>8</w:t>
    </w:r>
    <w:r>
      <w:fldChar w:fldCharType="end"/>
    </w:r>
  </w:p>
  <w:p w14:paraId="0D0B940D" w14:textId="77777777" w:rsidR="009D23BD" w:rsidRPr="00F02A65" w:rsidRDefault="009D23BD">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9D23BD" w:rsidRDefault="004C1B2B">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08673" w14:textId="77777777" w:rsidR="00E5629E" w:rsidRDefault="00E5629E">
      <w:pPr>
        <w:spacing w:before="0" w:after="0" w:line="240" w:lineRule="auto"/>
      </w:pPr>
      <w:r>
        <w:separator/>
      </w:r>
    </w:p>
  </w:footnote>
  <w:footnote w:type="continuationSeparator" w:id="0">
    <w:p w14:paraId="152A679B" w14:textId="77777777" w:rsidR="00E5629E" w:rsidRDefault="00E5629E">
      <w:pPr>
        <w:spacing w:before="0" w:after="0" w:line="240" w:lineRule="auto"/>
      </w:pPr>
      <w:r>
        <w:continuationSeparator/>
      </w:r>
    </w:p>
  </w:footnote>
  <w:footnote w:id="1">
    <w:p w14:paraId="0A604BEB" w14:textId="71FEB72A" w:rsidR="0080768F" w:rsidRPr="00A2275E" w:rsidRDefault="0080768F">
      <w:pPr>
        <w:pStyle w:val="FootnoteText"/>
      </w:pPr>
      <w:r>
        <w:rPr>
          <w:rStyle w:val="FootnoteReference"/>
        </w:rPr>
        <w:footnoteRef/>
      </w:r>
      <w:r w:rsidRPr="0080768F">
        <w:rPr>
          <w:lang w:val="en-US"/>
        </w:rPr>
        <w:t xml:space="preserve"> </w:t>
      </w:r>
      <w:r>
        <w:rPr>
          <w:lang w:val="en-US"/>
        </w:rPr>
        <w:t xml:space="preserve">International Standardization Organisation (ISO), (2012). </w:t>
      </w:r>
      <w:r>
        <w:rPr>
          <w:lang w:val="en-GB"/>
        </w:rPr>
        <w:t xml:space="preserve">Geographic information – Land Administration Domain Model (LADM). </w:t>
      </w:r>
      <w:r w:rsidRPr="00A2275E">
        <w:t xml:space="preserve">Opgehaald van </w:t>
      </w:r>
      <w:hyperlink r:id="rId1" w:history="1">
        <w:r>
          <w:rPr>
            <w:rStyle w:val="Hyperlink"/>
          </w:rPr>
          <w:t>https://www.idep.gob.pe/normas/ISO_19152.pdf</w:t>
        </w:r>
      </w:hyperlink>
    </w:p>
  </w:footnote>
  <w:footnote w:id="2">
    <w:p w14:paraId="18639BA6" w14:textId="69445F5E" w:rsidR="00991D2D" w:rsidRPr="00991D2D" w:rsidRDefault="00991D2D">
      <w:pPr>
        <w:pStyle w:val="FootnoteText"/>
      </w:pPr>
      <w:r>
        <w:rPr>
          <w:rStyle w:val="FootnoteReference"/>
        </w:rPr>
        <w:footnoteRef/>
      </w:r>
      <w:r>
        <w:t xml:space="preserve"> </w:t>
      </w:r>
      <w:r w:rsidRPr="00991D2D">
        <w:t>Dit kan zijn een recht, restrictive, verantwoordelijkheid, basis administratieve eenheid, partij of ruimtelijke eenheid.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9D23BD" w:rsidRDefault="004C1B2B">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F9"/>
    <w:multiLevelType w:val="hybridMultilevel"/>
    <w:tmpl w:val="A1EC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D0104"/>
    <w:multiLevelType w:val="hybridMultilevel"/>
    <w:tmpl w:val="6E78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A72C8"/>
    <w:multiLevelType w:val="hybridMultilevel"/>
    <w:tmpl w:val="893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1"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3"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16"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7"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6"/>
  </w:num>
  <w:num w:numId="4">
    <w:abstractNumId w:val="10"/>
  </w:num>
  <w:num w:numId="5">
    <w:abstractNumId w:val="12"/>
  </w:num>
  <w:num w:numId="6">
    <w:abstractNumId w:val="5"/>
  </w:num>
  <w:num w:numId="7">
    <w:abstractNumId w:val="13"/>
  </w:num>
  <w:num w:numId="8">
    <w:abstractNumId w:val="9"/>
  </w:num>
  <w:num w:numId="9">
    <w:abstractNumId w:val="3"/>
  </w:num>
  <w:num w:numId="10">
    <w:abstractNumId w:val="8"/>
  </w:num>
  <w:num w:numId="11">
    <w:abstractNumId w:val="7"/>
  </w:num>
  <w:num w:numId="12">
    <w:abstractNumId w:val="2"/>
  </w:num>
  <w:num w:numId="13">
    <w:abstractNumId w:val="1"/>
  </w:num>
  <w:num w:numId="14">
    <w:abstractNumId w:val="11"/>
  </w:num>
  <w:num w:numId="15">
    <w:abstractNumId w:val="17"/>
  </w:num>
  <w:num w:numId="16">
    <w:abstractNumId w:val="6"/>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3734B"/>
    <w:rsid w:val="000449C1"/>
    <w:rsid w:val="00051491"/>
    <w:rsid w:val="00065C54"/>
    <w:rsid w:val="000C132E"/>
    <w:rsid w:val="000D4E4F"/>
    <w:rsid w:val="000F1A9B"/>
    <w:rsid w:val="00131A4C"/>
    <w:rsid w:val="00151CAA"/>
    <w:rsid w:val="00186AC4"/>
    <w:rsid w:val="001B6036"/>
    <w:rsid w:val="001C14F1"/>
    <w:rsid w:val="001F6EDF"/>
    <w:rsid w:val="00205150"/>
    <w:rsid w:val="002273E0"/>
    <w:rsid w:val="00233C88"/>
    <w:rsid w:val="00273430"/>
    <w:rsid w:val="002C6B41"/>
    <w:rsid w:val="002C7DCB"/>
    <w:rsid w:val="003217A5"/>
    <w:rsid w:val="00332A30"/>
    <w:rsid w:val="00357154"/>
    <w:rsid w:val="0036615C"/>
    <w:rsid w:val="0038741C"/>
    <w:rsid w:val="003A1B44"/>
    <w:rsid w:val="003B5D86"/>
    <w:rsid w:val="004201F8"/>
    <w:rsid w:val="00437D31"/>
    <w:rsid w:val="00465827"/>
    <w:rsid w:val="00476ACF"/>
    <w:rsid w:val="004A7831"/>
    <w:rsid w:val="004B4CF1"/>
    <w:rsid w:val="004B6179"/>
    <w:rsid w:val="004C1B2B"/>
    <w:rsid w:val="0053617F"/>
    <w:rsid w:val="005456F0"/>
    <w:rsid w:val="00563A3A"/>
    <w:rsid w:val="00566955"/>
    <w:rsid w:val="005A273D"/>
    <w:rsid w:val="005B06B1"/>
    <w:rsid w:val="005B1EAB"/>
    <w:rsid w:val="005C388B"/>
    <w:rsid w:val="005F6848"/>
    <w:rsid w:val="005F6B70"/>
    <w:rsid w:val="00643343"/>
    <w:rsid w:val="00647D88"/>
    <w:rsid w:val="0065077E"/>
    <w:rsid w:val="00681D49"/>
    <w:rsid w:val="006B0E37"/>
    <w:rsid w:val="006E0E60"/>
    <w:rsid w:val="006E3B13"/>
    <w:rsid w:val="0070452D"/>
    <w:rsid w:val="007608B3"/>
    <w:rsid w:val="00786E85"/>
    <w:rsid w:val="007A3371"/>
    <w:rsid w:val="007C5BB9"/>
    <w:rsid w:val="0080768F"/>
    <w:rsid w:val="00811A5E"/>
    <w:rsid w:val="00883718"/>
    <w:rsid w:val="00883840"/>
    <w:rsid w:val="008D3860"/>
    <w:rsid w:val="00913113"/>
    <w:rsid w:val="00933309"/>
    <w:rsid w:val="00937522"/>
    <w:rsid w:val="00950000"/>
    <w:rsid w:val="009906F8"/>
    <w:rsid w:val="00991D2D"/>
    <w:rsid w:val="009A1329"/>
    <w:rsid w:val="009B0F1A"/>
    <w:rsid w:val="009C0068"/>
    <w:rsid w:val="009D23BD"/>
    <w:rsid w:val="00A2275E"/>
    <w:rsid w:val="00A3508A"/>
    <w:rsid w:val="00A50570"/>
    <w:rsid w:val="00A61F38"/>
    <w:rsid w:val="00A708F0"/>
    <w:rsid w:val="00A90109"/>
    <w:rsid w:val="00B25213"/>
    <w:rsid w:val="00B26710"/>
    <w:rsid w:val="00B45C6D"/>
    <w:rsid w:val="00B508E1"/>
    <w:rsid w:val="00B57E5E"/>
    <w:rsid w:val="00BB2021"/>
    <w:rsid w:val="00BB3D44"/>
    <w:rsid w:val="00BE0764"/>
    <w:rsid w:val="00C02A7A"/>
    <w:rsid w:val="00C10499"/>
    <w:rsid w:val="00C1489D"/>
    <w:rsid w:val="00C5743B"/>
    <w:rsid w:val="00C62FFD"/>
    <w:rsid w:val="00C81315"/>
    <w:rsid w:val="00C9460D"/>
    <w:rsid w:val="00CA63CE"/>
    <w:rsid w:val="00CB002A"/>
    <w:rsid w:val="00CB2527"/>
    <w:rsid w:val="00CB5141"/>
    <w:rsid w:val="00CB5FBB"/>
    <w:rsid w:val="00CF1710"/>
    <w:rsid w:val="00D00A7E"/>
    <w:rsid w:val="00D058EF"/>
    <w:rsid w:val="00D07EA6"/>
    <w:rsid w:val="00D139B9"/>
    <w:rsid w:val="00D4150D"/>
    <w:rsid w:val="00D51EBD"/>
    <w:rsid w:val="00D5793B"/>
    <w:rsid w:val="00D5797E"/>
    <w:rsid w:val="00DC435E"/>
    <w:rsid w:val="00E335AD"/>
    <w:rsid w:val="00E550A1"/>
    <w:rsid w:val="00E5629E"/>
    <w:rsid w:val="00E73B03"/>
    <w:rsid w:val="00E86BE1"/>
    <w:rsid w:val="00EB65A5"/>
    <w:rsid w:val="00EE63B8"/>
    <w:rsid w:val="00F02A65"/>
    <w:rsid w:val="00F0387C"/>
    <w:rsid w:val="00F1381E"/>
    <w:rsid w:val="00F9560D"/>
    <w:rsid w:val="00FD4B1A"/>
    <w:rsid w:val="00FD5610"/>
    <w:rsid w:val="00FF6274"/>
    <w:rsid w:val="02BAC91A"/>
    <w:rsid w:val="06556FB5"/>
    <w:rsid w:val="0FD9A644"/>
    <w:rsid w:val="1E2EBD26"/>
    <w:rsid w:val="4EDE2781"/>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0768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0768F"/>
    <w:rPr>
      <w:sz w:val="20"/>
      <w:szCs w:val="20"/>
    </w:rPr>
  </w:style>
  <w:style w:type="character" w:styleId="FootnoteReference">
    <w:name w:val="footnote reference"/>
    <w:basedOn w:val="DefaultParagraphFont"/>
    <w:uiPriority w:val="99"/>
    <w:semiHidden/>
    <w:unhideWhenUsed/>
    <w:rsid w:val="0080768F"/>
    <w:rPr>
      <w:vertAlign w:val="superscript"/>
    </w:rPr>
  </w:style>
  <w:style w:type="paragraph" w:styleId="NormalWeb">
    <w:name w:val="Normal (Web)"/>
    <w:basedOn w:val="Normal"/>
    <w:uiPriority w:val="99"/>
    <w:semiHidden/>
    <w:unhideWhenUsed/>
    <w:rsid w:val="000F1A9B"/>
    <w:pPr>
      <w:widowControl/>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FollowedHyperlink">
    <w:name w:val="FollowedHyperlink"/>
    <w:basedOn w:val="DefaultParagraphFont"/>
    <w:uiPriority w:val="99"/>
    <w:semiHidden/>
    <w:unhideWhenUsed/>
    <w:rsid w:val="0047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3817535">
      <w:bodyDiv w:val="1"/>
      <w:marLeft w:val="0"/>
      <w:marRight w:val="0"/>
      <w:marTop w:val="0"/>
      <w:marBottom w:val="0"/>
      <w:divBdr>
        <w:top w:val="none" w:sz="0" w:space="0" w:color="auto"/>
        <w:left w:val="none" w:sz="0" w:space="0" w:color="auto"/>
        <w:bottom w:val="none" w:sz="0" w:space="0" w:color="auto"/>
        <w:right w:val="none" w:sz="0" w:space="0" w:color="auto"/>
      </w:divBdr>
      <w:divsChild>
        <w:div w:id="186481259">
          <w:marLeft w:val="547"/>
          <w:marRight w:val="0"/>
          <w:marTop w:val="140"/>
          <w:marBottom w:val="0"/>
          <w:divBdr>
            <w:top w:val="none" w:sz="0" w:space="0" w:color="auto"/>
            <w:left w:val="none" w:sz="0" w:space="0" w:color="auto"/>
            <w:bottom w:val="none" w:sz="0" w:space="0" w:color="auto"/>
            <w:right w:val="none" w:sz="0" w:space="0" w:color="auto"/>
          </w:divBdr>
        </w:div>
      </w:divsChild>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677537285">
      <w:bodyDiv w:val="1"/>
      <w:marLeft w:val="0"/>
      <w:marRight w:val="0"/>
      <w:marTop w:val="0"/>
      <w:marBottom w:val="0"/>
      <w:divBdr>
        <w:top w:val="none" w:sz="0" w:space="0" w:color="auto"/>
        <w:left w:val="none" w:sz="0" w:space="0" w:color="auto"/>
        <w:bottom w:val="none" w:sz="0" w:space="0" w:color="auto"/>
        <w:right w:val="none" w:sz="0" w:space="0" w:color="auto"/>
      </w:divBdr>
      <w:divsChild>
        <w:div w:id="336813103">
          <w:marLeft w:val="1238"/>
          <w:marRight w:val="0"/>
          <w:marTop w:val="140"/>
          <w:marBottom w:val="0"/>
          <w:divBdr>
            <w:top w:val="none" w:sz="0" w:space="0" w:color="auto"/>
            <w:left w:val="none" w:sz="0" w:space="0" w:color="auto"/>
            <w:bottom w:val="none" w:sz="0" w:space="0" w:color="auto"/>
            <w:right w:val="none" w:sz="0" w:space="0" w:color="auto"/>
          </w:divBdr>
        </w:div>
      </w:divsChild>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dynamicforms.crmiv.vlaanderen.be/EventModule/Page/Show/869df4b5-4f8b-4dd4-a978-5a645bb813c7?PreFillIds=eba17839-f438-e911-a984-000d3ab98555%2c7ccd7cd0-4689-4050-86bc-4c451f5d9511"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s://www.idep.gob.pe/normas/ISO_19152.pdf" TargetMode="External"/><Relationship Id="rId42"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inspire.ec.europa.eu/Themes/122/2892" TargetMode="External"/><Relationship Id="rId25" Type="http://schemas.openxmlformats.org/officeDocument/2006/relationships/image" Target="media/image10.png"/><Relationship Id="rId33" Type="http://schemas.openxmlformats.org/officeDocument/2006/relationships/hyperlink" Target="https://www.vlaanderen.be/bouwen-wonen-en-energie/kopen-en-verkopen/zakelijk-recht" TargetMode="External"/><Relationship Id="rId38" Type="http://schemas.openxmlformats.org/officeDocument/2006/relationships/hyperlink" Target="https://dynamicforms.crmiv.vlaanderen.be/EventModule/Page/Show/869df4b5-4f8b-4dd4-a978-5a645bb813c7?PreFillIds=eba17839-f438-e911-a984-000d3ab98555%2cf272a257-8f24-4f3d-a4d2-b6e6d3c48223" TargetMode="External"/><Relationship Id="rId2" Type="http://schemas.openxmlformats.org/officeDocument/2006/relationships/customXml" Target="../customXml/item2.xml"/><Relationship Id="rId16" Type="http://schemas.openxmlformats.org/officeDocument/2006/relationships/hyperlink" Target="https://data.vlaanderen.be/standaarden/standaarden-in-ontwikkeling/applicatieprofiel-percelen/applicatieprofiel-percelen.html" TargetMode="External"/><Relationship Id="rId20" Type="http://schemas.openxmlformats.org/officeDocument/2006/relationships/image" Target="media/image5.png"/><Relationship Id="rId29" Type="http://schemas.openxmlformats.org/officeDocument/2006/relationships/hyperlink" Target="https://financien.belgium.be/sites/default/files/20180626_Dataspecificaties.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image" Target="media/image9.png"/><Relationship Id="rId32" Type="http://schemas.openxmlformats.org/officeDocument/2006/relationships/hyperlink" Target="https://www.idep.gob.pe/normas/ISO_19152.pdf" TargetMode="External"/><Relationship Id="rId37" Type="http://schemas.openxmlformats.org/officeDocument/2006/relationships/hyperlink" Target="mailto:kevin.haleydt@kb.vlaanderen.be"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hyperlink" Target="https://www.idep.gob.pe/normas/ISO_19152.pdf" TargetMode="External"/><Relationship Id="rId36" Type="http://schemas.openxmlformats.org/officeDocument/2006/relationships/hyperlink" Target="https://www.idep.gob.pe/normas/ISO_19152.pdf"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data.vlaanderen.be/doc/applicatieprofiel/generiek-bas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yperlink" Target="mailto:kevin.haleydt@kb.vlaanderen.be" TargetMode="External"/><Relationship Id="rId30" Type="http://schemas.openxmlformats.org/officeDocument/2006/relationships/hyperlink" Target="https://financien.belgium.be/sites/default/files/20180626_Dataspecificaties.pdf" TargetMode="External"/><Relationship Id="rId35" Type="http://schemas.openxmlformats.org/officeDocument/2006/relationships/hyperlink" Target="https://www.idep.gob.pe/normas/ISO_19152.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idep.gob.pe/normas/ISO_19152.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fb28d411da389315a23a165fb8a3e039">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443c4d93bffd698bffa712bc2af570ef"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9A92-E947-40F3-9A89-9AA733803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8E37C2-0F89-49AF-B85B-4E466216071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bd5de4e-6ecd-4522-a9f4-1c24c7648312"/>
    <ds:schemaRef ds:uri="d8af5a5f-e2e6-468c-9f28-f81d99523fed"/>
    <ds:schemaRef ds:uri="http://www.w3.org/XML/1998/namespace"/>
    <ds:schemaRef ds:uri="http://purl.org/dc/dcmitype/"/>
  </ds:schemaRefs>
</ds:datastoreItem>
</file>

<file path=customXml/itemProps3.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4.xml><?xml version="1.0" encoding="utf-8"?>
<ds:datastoreItem xmlns:ds="http://schemas.openxmlformats.org/officeDocument/2006/customXml" ds:itemID="{180C5C54-B1A1-49F0-A0D6-20824C36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Verslag Thematische werkgroep 2 - OSLO-Percelen- 20190506</vt:lpstr>
    </vt:vector>
  </TitlesOfParts>
  <Company>PricewaterhouseCoopers</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2 - OSLO-Percelen- 20190506</dc:title>
  <cp:lastModifiedBy>Haleydt Kevin</cp:lastModifiedBy>
  <cp:revision>60</cp:revision>
  <dcterms:created xsi:type="dcterms:W3CDTF">2019-02-07T14:11:00Z</dcterms:created>
  <dcterms:modified xsi:type="dcterms:W3CDTF">2019-05-17T10:19:00Z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