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uxuai-legal-operating-system"/>
    <w:p>
      <w:pPr>
        <w:pStyle w:val="Heading1"/>
      </w:pPr>
      <w:r>
        <w:t xml:space="preserve">WUXUAI Legal Operating System</w:t>
      </w:r>
    </w:p>
    <w:bookmarkStart w:id="20" w:name="Xbb74f977ce189124ce5a28f6d39faa8ffc65d0d"/>
    <w:p>
      <w:pPr>
        <w:pStyle w:val="Heading2"/>
      </w:pPr>
      <w:r>
        <w:t xml:space="preserve">Phase 2.5 – Datenexport, Betroffenenrechte und Löschung</w:t>
      </w:r>
    </w:p>
    <w:p>
      <w:pPr>
        <w:pStyle w:val="FirstParagraph"/>
      </w:pPr>
      <w:r>
        <w:rPr>
          <w:b/>
          <w:bCs/>
        </w:rPr>
        <w:t xml:space="preserve">Dokumentversion:</w:t>
      </w:r>
      <w:r>
        <w:t xml:space="preserve"> </w:t>
      </w:r>
      <w:r>
        <w:t xml:space="preserve">0.1</w:t>
      </w:r>
      <w:r>
        <w:br/>
      </w:r>
      <w:r>
        <w:rPr>
          <w:b/>
          <w:bCs/>
        </w:rPr>
        <w:t xml:space="preserve">Rechtsraum:</w:t>
      </w:r>
      <w:r>
        <w:t xml:space="preserve"> </w:t>
      </w:r>
      <w:r>
        <w:t xml:space="preserve">Österreich und Europäische Union</w:t>
      </w:r>
      <w:r>
        <w:br/>
      </w:r>
      <w:r>
        <w:rPr>
          <w:b/>
          <w:bCs/>
        </w:rPr>
        <w:t xml:space="preserve">Status:</w:t>
      </w:r>
      <w:r>
        <w:t xml:space="preserve"> </w:t>
      </w:r>
      <w:r>
        <w:t xml:space="preserve">Arbeitsentwurf zur anwaltlichen und steuerlichen Prüfung</w:t>
      </w:r>
      <w:r>
        <w:br/>
      </w:r>
      <w:r>
        <w:rPr>
          <w:b/>
          <w:bCs/>
        </w:rPr>
        <w:t xml:space="preserve">Geplanter Plattformbetreiber:</w:t>
      </w:r>
      <w:r>
        <w:t xml:space="preserve"> </w:t>
      </w:r>
      <w:r>
        <w:t xml:space="preserve">WUXUAI GmbH, Österreich</w:t>
      </w:r>
    </w:p>
    <w:p>
      <w:r>
        <w:pict>
          <v:rect style="width:0;height:1.5pt" o:hralign="center" o:hrstd="t" o:hr="t"/>
        </w:pict>
      </w:r>
    </w:p>
    <w:bookmarkEnd w:id="20"/>
    <w:bookmarkEnd w:id="21"/>
    <w:bookmarkStart w:id="22" w:name="zweck"/>
    <w:p>
      <w:pPr>
        <w:pStyle w:val="Heading1"/>
      </w:pPr>
      <w:r>
        <w:t xml:space="preserve">1. Zweck</w:t>
      </w:r>
    </w:p>
    <w:p>
      <w:pPr>
        <w:pStyle w:val="FirstParagraph"/>
      </w:pPr>
      <w:r>
        <w:t xml:space="preserve">Dieses Dokument regelt die organisatorische und technische Behandlung von:</w:t>
      </w:r>
    </w:p>
    <w:p>
      <w:pPr>
        <w:pStyle w:val="Compact"/>
        <w:numPr>
          <w:ilvl w:val="0"/>
          <w:numId w:val="1001"/>
        </w:numPr>
      </w:pPr>
      <w:r>
        <w:t xml:space="preserve">Auskunftsanträgen;</w:t>
      </w:r>
    </w:p>
    <w:p>
      <w:pPr>
        <w:pStyle w:val="Compact"/>
        <w:numPr>
          <w:ilvl w:val="0"/>
          <w:numId w:val="1001"/>
        </w:numPr>
      </w:pPr>
      <w:r>
        <w:t xml:space="preserve">Datenexporten;</w:t>
      </w:r>
    </w:p>
    <w:p>
      <w:pPr>
        <w:pStyle w:val="Compact"/>
        <w:numPr>
          <w:ilvl w:val="0"/>
          <w:numId w:val="1001"/>
        </w:numPr>
      </w:pPr>
      <w:r>
        <w:t xml:space="preserve">Datenübertragbarkeit;</w:t>
      </w:r>
    </w:p>
    <w:p>
      <w:pPr>
        <w:pStyle w:val="Compact"/>
        <w:numPr>
          <w:ilvl w:val="0"/>
          <w:numId w:val="1001"/>
        </w:numPr>
      </w:pPr>
      <w:r>
        <w:t xml:space="preserve">Berichtigungen;</w:t>
      </w:r>
    </w:p>
    <w:p>
      <w:pPr>
        <w:pStyle w:val="Compact"/>
        <w:numPr>
          <w:ilvl w:val="0"/>
          <w:numId w:val="1001"/>
        </w:numPr>
      </w:pPr>
      <w:r>
        <w:t xml:space="preserve">Einschränkungen der Verarbeitung;</w:t>
      </w:r>
    </w:p>
    <w:p>
      <w:pPr>
        <w:pStyle w:val="Compact"/>
        <w:numPr>
          <w:ilvl w:val="0"/>
          <w:numId w:val="1001"/>
        </w:numPr>
      </w:pPr>
      <w:r>
        <w:t xml:space="preserve">Löschanträgen;</w:t>
      </w:r>
    </w:p>
    <w:p>
      <w:pPr>
        <w:pStyle w:val="Compact"/>
        <w:numPr>
          <w:ilvl w:val="0"/>
          <w:numId w:val="1001"/>
        </w:numPr>
      </w:pPr>
      <w:r>
        <w:t xml:space="preserve">Widersprüchen;</w:t>
      </w:r>
    </w:p>
    <w:p>
      <w:pPr>
        <w:pStyle w:val="Compact"/>
        <w:numPr>
          <w:ilvl w:val="0"/>
          <w:numId w:val="1001"/>
        </w:numPr>
      </w:pPr>
      <w:r>
        <w:t xml:space="preserve">Widerrufen;</w:t>
      </w:r>
    </w:p>
    <w:p>
      <w:pPr>
        <w:pStyle w:val="Compact"/>
        <w:numPr>
          <w:ilvl w:val="0"/>
          <w:numId w:val="1001"/>
        </w:numPr>
      </w:pPr>
      <w:r>
        <w:t xml:space="preserve">gesetzlichen Aufbewahrungspflichten;</w:t>
      </w:r>
    </w:p>
    <w:p>
      <w:pPr>
        <w:pStyle w:val="Compact"/>
        <w:numPr>
          <w:ilvl w:val="0"/>
          <w:numId w:val="1001"/>
        </w:numPr>
      </w:pPr>
      <w:r>
        <w:t xml:space="preserve">Backups;</w:t>
      </w:r>
    </w:p>
    <w:p>
      <w:pPr>
        <w:pStyle w:val="Compact"/>
        <w:numPr>
          <w:ilvl w:val="0"/>
          <w:numId w:val="1001"/>
        </w:numPr>
      </w:pPr>
      <w:r>
        <w:t xml:space="preserve">Audit- und Nachweisdaten;</w:t>
      </w:r>
    </w:p>
    <w:p>
      <w:pPr>
        <w:pStyle w:val="Compact"/>
        <w:numPr>
          <w:ilvl w:val="0"/>
          <w:numId w:val="1001"/>
        </w:numPr>
      </w:pPr>
      <w:r>
        <w:t xml:space="preserve">Vertragsbeendigungen;</w:t>
      </w:r>
    </w:p>
    <w:p>
      <w:pPr>
        <w:pStyle w:val="Compact"/>
        <w:numPr>
          <w:ilvl w:val="0"/>
          <w:numId w:val="1001"/>
        </w:numPr>
      </w:pPr>
      <w:r>
        <w:t xml:space="preserve">Restaurantschließungen;</w:t>
      </w:r>
    </w:p>
    <w:p>
      <w:pPr>
        <w:pStyle w:val="Compact"/>
        <w:numPr>
          <w:ilvl w:val="0"/>
          <w:numId w:val="1001"/>
        </w:numPr>
      </w:pPr>
      <w:r>
        <w:t xml:space="preserve">Programmaustritten von Gästen.</w:t>
      </w:r>
    </w:p>
    <w:p>
      <w:pPr>
        <w:pStyle w:val="FirstParagraph"/>
      </w:pPr>
      <w:r>
        <w:t xml:space="preserve">Es bildet die Grundlage für:</w:t>
      </w:r>
    </w:p>
    <w:p>
      <w:pPr>
        <w:pStyle w:val="Compact"/>
        <w:numPr>
          <w:ilvl w:val="0"/>
          <w:numId w:val="1002"/>
        </w:numPr>
      </w:pPr>
      <w:r>
        <w:t xml:space="preserve">das Kundenportal;</w:t>
      </w:r>
    </w:p>
    <w:p>
      <w:pPr>
        <w:pStyle w:val="Compact"/>
        <w:numPr>
          <w:ilvl w:val="0"/>
          <w:numId w:val="1002"/>
        </w:numPr>
      </w:pPr>
      <w:r>
        <w:t xml:space="preserve">das Owner-Portal;</w:t>
      </w:r>
    </w:p>
    <w:p>
      <w:pPr>
        <w:pStyle w:val="Compact"/>
        <w:numPr>
          <w:ilvl w:val="0"/>
          <w:numId w:val="1002"/>
        </w:numPr>
      </w:pPr>
      <w:r>
        <w:t xml:space="preserve">den Plattform-Admin;</w:t>
      </w:r>
    </w:p>
    <w:p>
      <w:pPr>
        <w:pStyle w:val="Compact"/>
        <w:numPr>
          <w:ilvl w:val="0"/>
          <w:numId w:val="1002"/>
        </w:numPr>
      </w:pPr>
      <w:r>
        <w:t xml:space="preserve">Datenbankfunktionen;</w:t>
      </w:r>
    </w:p>
    <w:p>
      <w:pPr>
        <w:pStyle w:val="Compact"/>
        <w:numPr>
          <w:ilvl w:val="0"/>
          <w:numId w:val="1002"/>
        </w:numPr>
      </w:pPr>
      <w:r>
        <w:t xml:space="preserve">Edge Functions;</w:t>
      </w:r>
    </w:p>
    <w:p>
      <w:pPr>
        <w:pStyle w:val="Compact"/>
        <w:numPr>
          <w:ilvl w:val="0"/>
          <w:numId w:val="1002"/>
        </w:numPr>
      </w:pPr>
      <w:r>
        <w:t xml:space="preserve">Löschjobs;</w:t>
      </w:r>
    </w:p>
    <w:p>
      <w:pPr>
        <w:pStyle w:val="Compact"/>
        <w:numPr>
          <w:ilvl w:val="0"/>
          <w:numId w:val="1002"/>
        </w:numPr>
      </w:pPr>
      <w:r>
        <w:t xml:space="preserve">Supportprozesse;</w:t>
      </w:r>
    </w:p>
    <w:p>
      <w:pPr>
        <w:pStyle w:val="Compact"/>
        <w:numPr>
          <w:ilvl w:val="0"/>
          <w:numId w:val="1002"/>
        </w:numPr>
      </w:pPr>
      <w:r>
        <w:t xml:space="preserve">den Auftragsverarbeitungsvertrag;</w:t>
      </w:r>
    </w:p>
    <w:p>
      <w:pPr>
        <w:pStyle w:val="Compact"/>
        <w:numPr>
          <w:ilvl w:val="0"/>
          <w:numId w:val="1002"/>
        </w:numPr>
      </w:pPr>
      <w:r>
        <w:t xml:space="preserve">Datenschutzerklärungen;</w:t>
      </w:r>
    </w:p>
    <w:p>
      <w:pPr>
        <w:pStyle w:val="Compact"/>
        <w:numPr>
          <w:ilvl w:val="0"/>
          <w:numId w:val="1002"/>
        </w:numPr>
      </w:pPr>
      <w:r>
        <w:t xml:space="preserve">das interne Löschkonzept;</w:t>
      </w:r>
    </w:p>
    <w:p>
      <w:pPr>
        <w:pStyle w:val="Compact"/>
        <w:numPr>
          <w:ilvl w:val="0"/>
          <w:numId w:val="1002"/>
        </w:numPr>
      </w:pPr>
      <w:r>
        <w:t xml:space="preserve">den späteren Codex-Masterauftrag.</w:t>
      </w:r>
    </w:p>
    <w:p>
      <w:r>
        <w:pict>
          <v:rect style="width:0;height:1.5pt" o:hralign="center" o:hrstd="t" o:hr="t"/>
        </w:pict>
      </w:r>
    </w:p>
    <w:bookmarkEnd w:id="22"/>
    <w:bookmarkStart w:id="23" w:name="grundsatz"/>
    <w:p>
      <w:pPr>
        <w:pStyle w:val="Heading1"/>
      </w:pPr>
      <w:r>
        <w:t xml:space="preserve">2. Grundsatz</w:t>
      </w:r>
    </w:p>
    <w:p>
      <w:pPr>
        <w:pStyle w:val="FirstParagraph"/>
      </w:pPr>
      <w:r>
        <w:t xml:space="preserve">Personenbezogene Daten werden nur so lange gespeichert, wie dies erforderlich ist für:</w:t>
      </w:r>
    </w:p>
    <w:p>
      <w:pPr>
        <w:pStyle w:val="Compact"/>
        <w:numPr>
          <w:ilvl w:val="0"/>
          <w:numId w:val="1003"/>
        </w:numPr>
      </w:pPr>
      <w:r>
        <w:t xml:space="preserve">die Durchführung des Bonusprogramms;</w:t>
      </w:r>
    </w:p>
    <w:p>
      <w:pPr>
        <w:pStyle w:val="Compact"/>
        <w:numPr>
          <w:ilvl w:val="0"/>
          <w:numId w:val="1003"/>
        </w:numPr>
      </w:pPr>
      <w:r>
        <w:t xml:space="preserve">die Erfüllung des SaaS-Vertrags;</w:t>
      </w:r>
    </w:p>
    <w:p>
      <w:pPr>
        <w:pStyle w:val="Compact"/>
        <w:numPr>
          <w:ilvl w:val="0"/>
          <w:numId w:val="1003"/>
        </w:numPr>
      </w:pPr>
      <w:r>
        <w:t xml:space="preserve">die Sicherheit und Missbrauchsvermeidung;</w:t>
      </w:r>
    </w:p>
    <w:p>
      <w:pPr>
        <w:pStyle w:val="Compact"/>
        <w:numPr>
          <w:ilvl w:val="0"/>
          <w:numId w:val="1003"/>
        </w:numPr>
      </w:pPr>
      <w:r>
        <w:t xml:space="preserve">die Bearbeitung von Betroffenenrechten;</w:t>
      </w:r>
    </w:p>
    <w:p>
      <w:pPr>
        <w:pStyle w:val="Compact"/>
        <w:numPr>
          <w:ilvl w:val="0"/>
          <w:numId w:val="1003"/>
        </w:numPr>
      </w:pPr>
      <w:r>
        <w:t xml:space="preserve">gesetzliche Aufbewahrungspflichten;</w:t>
      </w:r>
    </w:p>
    <w:p>
      <w:pPr>
        <w:pStyle w:val="Compact"/>
        <w:numPr>
          <w:ilvl w:val="0"/>
          <w:numId w:val="1003"/>
        </w:numPr>
      </w:pPr>
      <w:r>
        <w:t xml:space="preserve">die Geltendmachung, Ausübung oder Verteidigung von Rechtsansprüchen.</w:t>
      </w:r>
    </w:p>
    <w:p>
      <w:pPr>
        <w:pStyle w:val="FirstParagraph"/>
      </w:pPr>
      <w:r>
        <w:t xml:space="preserve">Daten dürfen nicht allein deshalb dauerhaft gespeichert bleiben, weil ihre Speicherung technisch möglich oder betrieblich bequem ist.</w:t>
      </w:r>
    </w:p>
    <w:p>
      <w:pPr>
        <w:pStyle w:val="BodyText"/>
      </w:pPr>
      <w:r>
        <w:t xml:space="preserve">Jede Datenkategorie benötigt:</w:t>
      </w:r>
    </w:p>
    <w:p>
      <w:pPr>
        <w:pStyle w:val="Compact"/>
        <w:numPr>
          <w:ilvl w:val="0"/>
          <w:numId w:val="1004"/>
        </w:numPr>
      </w:pPr>
      <w:r>
        <w:t xml:space="preserve">einen klaren Zweck;</w:t>
      </w:r>
    </w:p>
    <w:p>
      <w:pPr>
        <w:pStyle w:val="Compact"/>
        <w:numPr>
          <w:ilvl w:val="0"/>
          <w:numId w:val="1004"/>
        </w:numPr>
      </w:pPr>
      <w:r>
        <w:t xml:space="preserve">eine Rechtsgrundlage;</w:t>
      </w:r>
    </w:p>
    <w:p>
      <w:pPr>
        <w:pStyle w:val="Compact"/>
        <w:numPr>
          <w:ilvl w:val="0"/>
          <w:numId w:val="1004"/>
        </w:numPr>
      </w:pPr>
      <w:r>
        <w:t xml:space="preserve">eine verantwortliche Partei;</w:t>
      </w:r>
    </w:p>
    <w:p>
      <w:pPr>
        <w:pStyle w:val="Compact"/>
        <w:numPr>
          <w:ilvl w:val="0"/>
          <w:numId w:val="1004"/>
        </w:numPr>
      </w:pPr>
      <w:r>
        <w:t xml:space="preserve">eine aktive Speicherdauer;</w:t>
      </w:r>
    </w:p>
    <w:p>
      <w:pPr>
        <w:pStyle w:val="Compact"/>
        <w:numPr>
          <w:ilvl w:val="0"/>
          <w:numId w:val="1004"/>
        </w:numPr>
      </w:pPr>
      <w:r>
        <w:t xml:space="preserve">ein Lösch- oder Anonymisierungskriterium;</w:t>
      </w:r>
    </w:p>
    <w:p>
      <w:pPr>
        <w:pStyle w:val="Compact"/>
        <w:numPr>
          <w:ilvl w:val="0"/>
          <w:numId w:val="1004"/>
        </w:numPr>
      </w:pPr>
      <w:r>
        <w:t xml:space="preserve">gegebenenfalls eine gesetzliche Aufbewahrungsfrist;</w:t>
      </w:r>
    </w:p>
    <w:p>
      <w:pPr>
        <w:pStyle w:val="Compact"/>
        <w:numPr>
          <w:ilvl w:val="0"/>
          <w:numId w:val="1004"/>
        </w:numPr>
      </w:pPr>
      <w:r>
        <w:t xml:space="preserve">einen dokumentierten Löschprozess.</w:t>
      </w:r>
    </w:p>
    <w:p>
      <w:r>
        <w:pict>
          <v:rect style="width:0;height:1.5pt" o:hralign="center" o:hrstd="t" o:hr="t"/>
        </w:pict>
      </w:r>
    </w:p>
    <w:bookmarkEnd w:id="23"/>
    <w:bookmarkStart w:id="28" w:name="verantwortlichkeiten"/>
    <w:p>
      <w:pPr>
        <w:pStyle w:val="Heading1"/>
      </w:pPr>
      <w:r>
        <w:t xml:space="preserve">3. Verantwortlichkeiten</w:t>
      </w:r>
    </w:p>
    <w:bookmarkStart w:id="24" w:name="restaurant-als-verantwortlicher"/>
    <w:p>
      <w:pPr>
        <w:pStyle w:val="Heading2"/>
      </w:pPr>
      <w:r>
        <w:t xml:space="preserve">3.1 Restaurant als Verantwortlicher</w:t>
      </w:r>
    </w:p>
    <w:p>
      <w:pPr>
        <w:pStyle w:val="FirstParagraph"/>
      </w:pPr>
      <w:r>
        <w:t xml:space="preserve">Für die meisten Gastdaten innerhalb eines Restaurant-Bonusprogramms ist grundsätzlich das jeweilige Restaurantunternehmen verantwortlich.</w:t>
      </w:r>
    </w:p>
    <w:p>
      <w:pPr>
        <w:pStyle w:val="BodyText"/>
      </w:pPr>
      <w:r>
        <w:t xml:space="preserve">Das Restaurant entscheidet über:</w:t>
      </w:r>
    </w:p>
    <w:p>
      <w:pPr>
        <w:pStyle w:val="Compact"/>
        <w:numPr>
          <w:ilvl w:val="0"/>
          <w:numId w:val="1005"/>
        </w:numPr>
      </w:pPr>
      <w:r>
        <w:t xml:space="preserve">Beantwortung eines Gastantrags;</w:t>
      </w:r>
    </w:p>
    <w:p>
      <w:pPr>
        <w:pStyle w:val="Compact"/>
        <w:numPr>
          <w:ilvl w:val="0"/>
          <w:numId w:val="1005"/>
        </w:numPr>
      </w:pPr>
      <w:r>
        <w:t xml:space="preserve">Berichtigung;</w:t>
      </w:r>
    </w:p>
    <w:p>
      <w:pPr>
        <w:pStyle w:val="Compact"/>
        <w:numPr>
          <w:ilvl w:val="0"/>
          <w:numId w:val="1005"/>
        </w:numPr>
      </w:pPr>
      <w:r>
        <w:t xml:space="preserve">Einschränkung;</w:t>
      </w:r>
    </w:p>
    <w:p>
      <w:pPr>
        <w:pStyle w:val="Compact"/>
        <w:numPr>
          <w:ilvl w:val="0"/>
          <w:numId w:val="1005"/>
        </w:numPr>
      </w:pPr>
      <w:r>
        <w:t xml:space="preserve">Löschung;</w:t>
      </w:r>
    </w:p>
    <w:p>
      <w:pPr>
        <w:pStyle w:val="Compact"/>
        <w:numPr>
          <w:ilvl w:val="0"/>
          <w:numId w:val="1005"/>
        </w:numPr>
      </w:pPr>
      <w:r>
        <w:t xml:space="preserve">rechtliche Aufbewahrung;</w:t>
      </w:r>
    </w:p>
    <w:p>
      <w:pPr>
        <w:pStyle w:val="Compact"/>
        <w:numPr>
          <w:ilvl w:val="0"/>
          <w:numId w:val="1005"/>
        </w:numPr>
      </w:pPr>
      <w:r>
        <w:t xml:space="preserve">Ablehnung eines Antrags;</w:t>
      </w:r>
    </w:p>
    <w:p>
      <w:pPr>
        <w:pStyle w:val="Compact"/>
        <w:numPr>
          <w:ilvl w:val="0"/>
          <w:numId w:val="1005"/>
        </w:numPr>
      </w:pPr>
      <w:r>
        <w:t xml:space="preserve">Kommunikation mit dem Gast;</w:t>
      </w:r>
    </w:p>
    <w:p>
      <w:pPr>
        <w:pStyle w:val="Compact"/>
        <w:numPr>
          <w:ilvl w:val="0"/>
          <w:numId w:val="1005"/>
        </w:numPr>
      </w:pPr>
      <w:r>
        <w:t xml:space="preserve">Benachrichtigung weiterer Empfänger.</w:t>
      </w:r>
    </w:p>
    <w:p>
      <w:pPr>
        <w:pStyle w:val="FirstParagraph"/>
      </w:pPr>
      <w:r>
        <w:t xml:space="preserve">WUXUAI unterstützt das Restaurant technisch im Rahmen des Auftragsverarbeitungsvertrags.</w:t>
      </w:r>
    </w:p>
    <w:bookmarkEnd w:id="24"/>
    <w:bookmarkStart w:id="25" w:name="wuxuai-als-auftragsverarbeiter"/>
    <w:p>
      <w:pPr>
        <w:pStyle w:val="Heading2"/>
      </w:pPr>
      <w:r>
        <w:t xml:space="preserve">3.2 WUXUAI als Auftragsverarbeiter</w:t>
      </w:r>
    </w:p>
    <w:p>
      <w:pPr>
        <w:pStyle w:val="FirstParagraph"/>
      </w:pPr>
      <w:r>
        <w:t xml:space="preserve">WUXUAI darf Anträge auf Gastdaten nicht eigenmächtig inhaltlich entscheiden, soweit ausschließlich das Restaurant Verantwortlicher ist.</w:t>
      </w:r>
    </w:p>
    <w:p>
      <w:pPr>
        <w:pStyle w:val="BodyText"/>
      </w:pPr>
      <w:r>
        <w:t xml:space="preserve">WUXUAI darf:</w:t>
      </w:r>
    </w:p>
    <w:p>
      <w:pPr>
        <w:pStyle w:val="Compact"/>
        <w:numPr>
          <w:ilvl w:val="0"/>
          <w:numId w:val="1006"/>
        </w:numPr>
      </w:pPr>
      <w:r>
        <w:t xml:space="preserve">den Antrag entgegennehmen;</w:t>
      </w:r>
    </w:p>
    <w:p>
      <w:pPr>
        <w:pStyle w:val="Compact"/>
        <w:numPr>
          <w:ilvl w:val="0"/>
          <w:numId w:val="1006"/>
        </w:numPr>
      </w:pPr>
      <w:r>
        <w:t xml:space="preserve">die Identität technisch prüfen;</w:t>
      </w:r>
    </w:p>
    <w:p>
      <w:pPr>
        <w:pStyle w:val="Compact"/>
        <w:numPr>
          <w:ilvl w:val="0"/>
          <w:numId w:val="1006"/>
        </w:numPr>
      </w:pPr>
      <w:r>
        <w:t xml:space="preserve">den Antrag dem Restaurant zuordnen;</w:t>
      </w:r>
    </w:p>
    <w:p>
      <w:pPr>
        <w:pStyle w:val="Compact"/>
        <w:numPr>
          <w:ilvl w:val="0"/>
          <w:numId w:val="1006"/>
        </w:numPr>
      </w:pPr>
      <w:r>
        <w:t xml:space="preserve">Daten technisch zusammenstellen;</w:t>
      </w:r>
    </w:p>
    <w:p>
      <w:pPr>
        <w:pStyle w:val="Compact"/>
        <w:numPr>
          <w:ilvl w:val="0"/>
          <w:numId w:val="1006"/>
        </w:numPr>
      </w:pPr>
      <w:r>
        <w:t xml:space="preserve">Lösch- oder Einschränkungsjobs ausführen;</w:t>
      </w:r>
    </w:p>
    <w:p>
      <w:pPr>
        <w:pStyle w:val="Compact"/>
        <w:numPr>
          <w:ilvl w:val="0"/>
          <w:numId w:val="1006"/>
        </w:numPr>
      </w:pPr>
      <w:r>
        <w:t xml:space="preserve">den Bearbeitungsstatus dokumentieren;</w:t>
      </w:r>
    </w:p>
    <w:p>
      <w:pPr>
        <w:pStyle w:val="Compact"/>
        <w:numPr>
          <w:ilvl w:val="0"/>
          <w:numId w:val="1006"/>
        </w:numPr>
      </w:pPr>
      <w:r>
        <w:t xml:space="preserve">technische Nachweise bereitstellen.</w:t>
      </w:r>
    </w:p>
    <w:bookmarkEnd w:id="25"/>
    <w:bookmarkStart w:id="26" w:name="wuxuai-als-verantwortlicher"/>
    <w:p>
      <w:pPr>
        <w:pStyle w:val="Heading2"/>
      </w:pPr>
      <w:r>
        <w:t xml:space="preserve">3.3 WUXUAI als Verantwortlicher</w:t>
      </w:r>
    </w:p>
    <w:p>
      <w:pPr>
        <w:pStyle w:val="FirstParagraph"/>
      </w:pPr>
      <w:r>
        <w:t xml:space="preserve">Soweit sich ein Antrag auf WUXUAI-eigene Verarbeitungen bezieht, entscheidet WUXUAI selbst.</w:t>
      </w:r>
    </w:p>
    <w:p>
      <w:pPr>
        <w:pStyle w:val="BodyText"/>
      </w:pPr>
      <w:r>
        <w:t xml:space="preserve">Beispiele:</w:t>
      </w:r>
    </w:p>
    <w:p>
      <w:pPr>
        <w:pStyle w:val="Compact"/>
        <w:numPr>
          <w:ilvl w:val="0"/>
          <w:numId w:val="1007"/>
        </w:numPr>
      </w:pPr>
      <w:r>
        <w:t xml:space="preserve">Owner-Vertragskonto;</w:t>
      </w:r>
    </w:p>
    <w:p>
      <w:pPr>
        <w:pStyle w:val="Compact"/>
        <w:numPr>
          <w:ilvl w:val="0"/>
          <w:numId w:val="1007"/>
        </w:numPr>
      </w:pPr>
      <w:r>
        <w:t xml:space="preserve">Supportkommunikation mit WUXUAI;</w:t>
      </w:r>
    </w:p>
    <w:p>
      <w:pPr>
        <w:pStyle w:val="Compact"/>
        <w:numPr>
          <w:ilvl w:val="0"/>
          <w:numId w:val="1007"/>
        </w:numPr>
      </w:pPr>
      <w:r>
        <w:t xml:space="preserve">Abrechnung;</w:t>
      </w:r>
    </w:p>
    <w:p>
      <w:pPr>
        <w:pStyle w:val="Compact"/>
        <w:numPr>
          <w:ilvl w:val="0"/>
          <w:numId w:val="1007"/>
        </w:numPr>
      </w:pPr>
      <w:r>
        <w:t xml:space="preserve">WUXUAI-eigenes Marketing;</w:t>
      </w:r>
    </w:p>
    <w:p>
      <w:pPr>
        <w:pStyle w:val="Compact"/>
        <w:numPr>
          <w:ilvl w:val="0"/>
          <w:numId w:val="1007"/>
        </w:numPr>
      </w:pPr>
      <w:r>
        <w:t xml:space="preserve">Plattform-Sicherheitsprotokolle;</w:t>
      </w:r>
    </w:p>
    <w:p>
      <w:pPr>
        <w:pStyle w:val="Compact"/>
        <w:numPr>
          <w:ilvl w:val="0"/>
          <w:numId w:val="1007"/>
        </w:numPr>
      </w:pPr>
      <w:r>
        <w:t xml:space="preserve">WUXUAI-Website;</w:t>
      </w:r>
    </w:p>
    <w:p>
      <w:pPr>
        <w:pStyle w:val="Compact"/>
        <w:numPr>
          <w:ilvl w:val="0"/>
          <w:numId w:val="1007"/>
        </w:numPr>
      </w:pPr>
      <w:r>
        <w:t xml:space="preserve">Bewerber- oder Geschäftsanfragen.</w:t>
      </w:r>
    </w:p>
    <w:bookmarkEnd w:id="26"/>
    <w:bookmarkStart w:id="27" w:name="mehrere-restaurants"/>
    <w:p>
      <w:pPr>
        <w:pStyle w:val="Heading2"/>
      </w:pPr>
      <w:r>
        <w:t xml:space="preserve">3.4 Mehrere Restaurants</w:t>
      </w:r>
    </w:p>
    <w:p>
      <w:pPr>
        <w:pStyle w:val="FirstParagraph"/>
      </w:pPr>
      <w:r>
        <w:t xml:space="preserve">Ein Gast kann bei mehreren Restaurants registriert sein.</w:t>
      </w:r>
    </w:p>
    <w:p>
      <w:pPr>
        <w:pStyle w:val="BodyText"/>
      </w:pPr>
      <w:r>
        <w:t xml:space="preserve">Ein Antrag gegenüber Restaurant A wirkt grundsätzlich nicht automatisch für Restaurant B.</w:t>
      </w:r>
    </w:p>
    <w:p>
      <w:pPr>
        <w:pStyle w:val="BodyText"/>
      </w:pPr>
      <w:r>
        <w:t xml:space="preserve">Die Plattform muss daher unterscheiden zwischen:</w:t>
      </w:r>
    </w:p>
    <w:p>
      <w:pPr>
        <w:pStyle w:val="SourceCode"/>
      </w:pPr>
      <w:r>
        <w:rPr>
          <w:rStyle w:val="VerbatimChar"/>
        </w:rPr>
        <w:t xml:space="preserve">RESTAURANT_SCOPE</w:t>
      </w:r>
      <w:r>
        <w:br/>
      </w:r>
      <w:r>
        <w:rPr>
          <w:rStyle w:val="VerbatimChar"/>
        </w:rPr>
        <w:t xml:space="preserve">PLATFORM_SCOPE</w:t>
      </w:r>
      <w:r>
        <w:br/>
      </w:r>
      <w:r>
        <w:rPr>
          <w:rStyle w:val="VerbatimChar"/>
        </w:rPr>
        <w:t xml:space="preserve">ALL_RESTAURANT_SCOPES</w:t>
      </w:r>
    </w:p>
    <w:p>
      <w:pPr>
        <w:pStyle w:val="FirstParagraph"/>
      </w:pPr>
      <w:r>
        <w:t xml:space="preserve">Ein restaurantübergreifender Antrag darf nur ausgeführt werden, wenn:</w:t>
      </w:r>
    </w:p>
    <w:p>
      <w:pPr>
        <w:pStyle w:val="Compact"/>
        <w:numPr>
          <w:ilvl w:val="0"/>
          <w:numId w:val="1008"/>
        </w:numPr>
      </w:pPr>
      <w:r>
        <w:t xml:space="preserve">der Gast diesen Umfang eindeutig verlangt;</w:t>
      </w:r>
    </w:p>
    <w:p>
      <w:pPr>
        <w:pStyle w:val="Compact"/>
        <w:numPr>
          <w:ilvl w:val="0"/>
          <w:numId w:val="1008"/>
        </w:numPr>
      </w:pPr>
      <w:r>
        <w:t xml:space="preserve">die Identität ausreichend geprüft wurde;</w:t>
      </w:r>
    </w:p>
    <w:p>
      <w:pPr>
        <w:pStyle w:val="Compact"/>
        <w:numPr>
          <w:ilvl w:val="0"/>
          <w:numId w:val="1008"/>
        </w:numPr>
      </w:pPr>
      <w:r>
        <w:t xml:space="preserve">alle betroffenen Verantwortlichen korrekt einbezogen werden;</w:t>
      </w:r>
    </w:p>
    <w:p>
      <w:pPr>
        <w:pStyle w:val="Compact"/>
        <w:numPr>
          <w:ilvl w:val="0"/>
          <w:numId w:val="1008"/>
        </w:numPr>
      </w:pPr>
      <w:r>
        <w:t xml:space="preserve">keine Daten eines Restaurants unzulässig an ein anderes Restaurant offengelegt werden.</w:t>
      </w:r>
    </w:p>
    <w:p>
      <w:r>
        <w:pict>
          <v:rect style="width:0;height:1.5pt" o:hralign="center" o:hrstd="t" o:hr="t"/>
        </w:pict>
      </w:r>
    </w:p>
    <w:bookmarkEnd w:id="27"/>
    <w:bookmarkEnd w:id="28"/>
    <w:bookmarkStart w:id="36" w:name="arten-von-betroffenenanträgen"/>
    <w:p>
      <w:pPr>
        <w:pStyle w:val="Heading1"/>
      </w:pPr>
      <w:r>
        <w:t xml:space="preserve">4. Arten von Betroffenenanträgen</w:t>
      </w:r>
    </w:p>
    <w:bookmarkStart w:id="29" w:name="auskunft"/>
    <w:p>
      <w:pPr>
        <w:pStyle w:val="Heading2"/>
      </w:pPr>
      <w:r>
        <w:t xml:space="preserve">4.1 Auskunft</w:t>
      </w:r>
    </w:p>
    <w:p>
      <w:pPr>
        <w:pStyle w:val="FirstParagraph"/>
      </w:pPr>
      <w:r>
        <w:t xml:space="preserve">Der Gast kann Auskunft darüber verlangen, ob und welche personenbezogenen Daten verarbeitet werden.</w:t>
      </w:r>
    </w:p>
    <w:p>
      <w:pPr>
        <w:pStyle w:val="BodyText"/>
      </w:pPr>
      <w:r>
        <w:t xml:space="preserve">Der Auskunftsprozess soll insbesondere abdecken:</w:t>
      </w:r>
    </w:p>
    <w:p>
      <w:pPr>
        <w:pStyle w:val="Compact"/>
        <w:numPr>
          <w:ilvl w:val="0"/>
          <w:numId w:val="1009"/>
        </w:numPr>
      </w:pPr>
      <w:r>
        <w:t xml:space="preserve">Stammdaten;</w:t>
      </w:r>
    </w:p>
    <w:p>
      <w:pPr>
        <w:pStyle w:val="Compact"/>
        <w:numPr>
          <w:ilvl w:val="0"/>
          <w:numId w:val="1009"/>
        </w:numPr>
      </w:pPr>
      <w:r>
        <w:t xml:space="preserve">Restaurantzuordnungen;</w:t>
      </w:r>
    </w:p>
    <w:p>
      <w:pPr>
        <w:pStyle w:val="Compact"/>
        <w:numPr>
          <w:ilvl w:val="0"/>
          <w:numId w:val="1009"/>
        </w:numPr>
      </w:pPr>
      <w:r>
        <w:t xml:space="preserve">Punktebuchungen;</w:t>
      </w:r>
    </w:p>
    <w:p>
      <w:pPr>
        <w:pStyle w:val="Compact"/>
        <w:numPr>
          <w:ilvl w:val="0"/>
          <w:numId w:val="1009"/>
        </w:numPr>
      </w:pPr>
      <w:r>
        <w:t xml:space="preserve">Rewardansprüche;</w:t>
      </w:r>
    </w:p>
    <w:p>
      <w:pPr>
        <w:pStyle w:val="Compact"/>
        <w:numPr>
          <w:ilvl w:val="0"/>
          <w:numId w:val="1009"/>
        </w:numPr>
      </w:pPr>
      <w:r>
        <w:t xml:space="preserve">Reward-Einlösungen;</w:t>
      </w:r>
    </w:p>
    <w:p>
      <w:pPr>
        <w:pStyle w:val="Compact"/>
        <w:numPr>
          <w:ilvl w:val="0"/>
          <w:numId w:val="1009"/>
        </w:numPr>
      </w:pPr>
      <w:r>
        <w:t xml:space="preserve">Besuchs- und Transaktionshistorie;</w:t>
      </w:r>
    </w:p>
    <w:p>
      <w:pPr>
        <w:pStyle w:val="Compact"/>
        <w:numPr>
          <w:ilvl w:val="0"/>
          <w:numId w:val="1009"/>
        </w:numPr>
      </w:pPr>
      <w:r>
        <w:t xml:space="preserve">Teilnahmebedingungen und Annahmenachweise;</w:t>
      </w:r>
    </w:p>
    <w:p>
      <w:pPr>
        <w:pStyle w:val="Compact"/>
        <w:numPr>
          <w:ilvl w:val="0"/>
          <w:numId w:val="1009"/>
        </w:numPr>
      </w:pPr>
      <w:r>
        <w:t xml:space="preserve">Consents und Widerrufe;</w:t>
      </w:r>
    </w:p>
    <w:p>
      <w:pPr>
        <w:pStyle w:val="Compact"/>
        <w:numPr>
          <w:ilvl w:val="0"/>
          <w:numId w:val="1009"/>
        </w:numPr>
      </w:pPr>
      <w:r>
        <w:t xml:space="preserve">Datenschutzanfragen;</w:t>
      </w:r>
    </w:p>
    <w:p>
      <w:pPr>
        <w:pStyle w:val="Compact"/>
        <w:numPr>
          <w:ilvl w:val="0"/>
          <w:numId w:val="1009"/>
        </w:numPr>
      </w:pPr>
      <w:r>
        <w:t xml:space="preserve">Marketingzustellungen;</w:t>
      </w:r>
    </w:p>
    <w:p>
      <w:pPr>
        <w:pStyle w:val="Compact"/>
        <w:numPr>
          <w:ilvl w:val="0"/>
          <w:numId w:val="1009"/>
        </w:numPr>
      </w:pPr>
      <w:r>
        <w:t xml:space="preserve">Sicherheits- und Missbrauchsereignisse, soweit herauszugeben;</w:t>
      </w:r>
    </w:p>
    <w:p>
      <w:pPr>
        <w:pStyle w:val="Compact"/>
        <w:numPr>
          <w:ilvl w:val="0"/>
          <w:numId w:val="1009"/>
        </w:numPr>
      </w:pPr>
      <w:r>
        <w:t xml:space="preserve">Empfängerkategorien;</w:t>
      </w:r>
    </w:p>
    <w:p>
      <w:pPr>
        <w:pStyle w:val="Compact"/>
        <w:numPr>
          <w:ilvl w:val="0"/>
          <w:numId w:val="1009"/>
        </w:numPr>
      </w:pPr>
      <w:r>
        <w:t xml:space="preserve">Speicherdauer oder Kriterien;</w:t>
      </w:r>
    </w:p>
    <w:p>
      <w:pPr>
        <w:pStyle w:val="Compact"/>
        <w:numPr>
          <w:ilvl w:val="0"/>
          <w:numId w:val="1009"/>
        </w:numPr>
      </w:pPr>
      <w:r>
        <w:t xml:space="preserve">Verarbeitungszwecke;</w:t>
      </w:r>
    </w:p>
    <w:p>
      <w:pPr>
        <w:pStyle w:val="Compact"/>
        <w:numPr>
          <w:ilvl w:val="0"/>
          <w:numId w:val="1009"/>
        </w:numPr>
      </w:pPr>
      <w:r>
        <w:t xml:space="preserve">Rechtsgrundlagen;</w:t>
      </w:r>
    </w:p>
    <w:p>
      <w:pPr>
        <w:pStyle w:val="Compact"/>
        <w:numPr>
          <w:ilvl w:val="0"/>
          <w:numId w:val="1009"/>
        </w:numPr>
      </w:pPr>
      <w:r>
        <w:t xml:space="preserve">Datenquellen;</w:t>
      </w:r>
    </w:p>
    <w:p>
      <w:pPr>
        <w:pStyle w:val="Compact"/>
        <w:numPr>
          <w:ilvl w:val="0"/>
          <w:numId w:val="1009"/>
        </w:numPr>
      </w:pPr>
      <w:r>
        <w:t xml:space="preserve">Drittlandübermittlungen;</w:t>
      </w:r>
    </w:p>
    <w:p>
      <w:pPr>
        <w:pStyle w:val="Compact"/>
        <w:numPr>
          <w:ilvl w:val="0"/>
          <w:numId w:val="1009"/>
        </w:numPr>
      </w:pPr>
      <w:r>
        <w:t xml:space="preserve">automatisierte Entscheidungen, soweit vorhanden.</w:t>
      </w:r>
    </w:p>
    <w:bookmarkEnd w:id="29"/>
    <w:bookmarkStart w:id="30" w:name="datenübertragbarkeit"/>
    <w:p>
      <w:pPr>
        <w:pStyle w:val="Heading2"/>
      </w:pPr>
      <w:r>
        <w:t xml:space="preserve">4.2 Datenübertragbarkeit</w:t>
      </w:r>
    </w:p>
    <w:p>
      <w:pPr>
        <w:pStyle w:val="FirstParagraph"/>
      </w:pPr>
      <w:r>
        <w:t xml:space="preserve">Soweit die gesetzlichen Voraussetzungen erfüllt sind, soll ein strukturierter, gängiger und maschinenlesbarer Export bereitgestellt werden.</w:t>
      </w:r>
    </w:p>
    <w:p>
      <w:pPr>
        <w:pStyle w:val="BodyText"/>
      </w:pPr>
      <w:r>
        <w:t xml:space="preserve">Empfohlene Formate:</w:t>
      </w:r>
    </w:p>
    <w:p>
      <w:pPr>
        <w:pStyle w:val="SourceCode"/>
      </w:pPr>
      <w:r>
        <w:rPr>
          <w:rStyle w:val="VerbatimChar"/>
        </w:rPr>
        <w:t xml:space="preserve">JSON</w:t>
      </w:r>
      <w:r>
        <w:br/>
      </w:r>
      <w:r>
        <w:rPr>
          <w:rStyle w:val="VerbatimChar"/>
        </w:rPr>
        <w:t xml:space="preserve">CSV</w:t>
      </w:r>
      <w:r>
        <w:br/>
      </w:r>
      <w:r>
        <w:rPr>
          <w:rStyle w:val="VerbatimChar"/>
        </w:rPr>
        <w:t xml:space="preserve">PDF-Zusammenfassung</w:t>
      </w:r>
    </w:p>
    <w:p>
      <w:pPr>
        <w:pStyle w:val="FirstParagraph"/>
      </w:pPr>
      <w:r>
        <w:t xml:space="preserve">JSON und CSV dienen der Maschinenlesbarkeit.</w:t>
      </w:r>
    </w:p>
    <w:p>
      <w:pPr>
        <w:pStyle w:val="BodyText"/>
      </w:pPr>
      <w:r>
        <w:t xml:space="preserve">Die PDF-Zusammenfassung dient der verständlichen Darstellung.</w:t>
      </w:r>
    </w:p>
    <w:bookmarkEnd w:id="30"/>
    <w:bookmarkStart w:id="31" w:name="berichtigung"/>
    <w:p>
      <w:pPr>
        <w:pStyle w:val="Heading2"/>
      </w:pPr>
      <w:r>
        <w:t xml:space="preserve">4.3 Berichtigung</w:t>
      </w:r>
    </w:p>
    <w:p>
      <w:pPr>
        <w:pStyle w:val="FirstParagraph"/>
      </w:pPr>
      <w:r>
        <w:t xml:space="preserve">Der Gast kann unrichtige oder unvollständige Daten berichtigen lassen.</w:t>
      </w:r>
    </w:p>
    <w:p>
      <w:pPr>
        <w:pStyle w:val="BodyText"/>
      </w:pPr>
      <w:r>
        <w:t xml:space="preserve">Direkt selbst änderbar können sein:</w:t>
      </w:r>
    </w:p>
    <w:p>
      <w:pPr>
        <w:pStyle w:val="Compact"/>
        <w:numPr>
          <w:ilvl w:val="0"/>
          <w:numId w:val="1010"/>
        </w:numPr>
      </w:pPr>
      <w:r>
        <w:t xml:space="preserve">Vorname;</w:t>
      </w:r>
    </w:p>
    <w:p>
      <w:pPr>
        <w:pStyle w:val="Compact"/>
        <w:numPr>
          <w:ilvl w:val="0"/>
          <w:numId w:val="1010"/>
        </w:numPr>
      </w:pPr>
      <w:r>
        <w:t xml:space="preserve">E-Mail-Adresse;</w:t>
      </w:r>
    </w:p>
    <w:p>
      <w:pPr>
        <w:pStyle w:val="Compact"/>
        <w:numPr>
          <w:ilvl w:val="0"/>
          <w:numId w:val="1010"/>
        </w:numPr>
      </w:pPr>
      <w:r>
        <w:t xml:space="preserve">Telefonnummer;</w:t>
      </w:r>
    </w:p>
    <w:p>
      <w:pPr>
        <w:pStyle w:val="Compact"/>
        <w:numPr>
          <w:ilvl w:val="0"/>
          <w:numId w:val="1010"/>
        </w:numPr>
      </w:pPr>
      <w:r>
        <w:t xml:space="preserve">Sprache;</w:t>
      </w:r>
    </w:p>
    <w:p>
      <w:pPr>
        <w:pStyle w:val="Compact"/>
        <w:numPr>
          <w:ilvl w:val="0"/>
          <w:numId w:val="1010"/>
        </w:numPr>
      </w:pPr>
      <w:r>
        <w:t xml:space="preserve">Kommunikationspräferenzen.</w:t>
      </w:r>
    </w:p>
    <w:p>
      <w:pPr>
        <w:pStyle w:val="FirstParagraph"/>
      </w:pPr>
      <w:r>
        <w:t xml:space="preserve">Nicht direkt überschreibbar sollen sein:</w:t>
      </w:r>
    </w:p>
    <w:p>
      <w:pPr>
        <w:pStyle w:val="Compact"/>
        <w:numPr>
          <w:ilvl w:val="0"/>
          <w:numId w:val="1011"/>
        </w:numPr>
      </w:pPr>
      <w:r>
        <w:t xml:space="preserve">historische Punktebuchungen;</w:t>
      </w:r>
    </w:p>
    <w:p>
      <w:pPr>
        <w:pStyle w:val="Compact"/>
        <w:numPr>
          <w:ilvl w:val="0"/>
          <w:numId w:val="1011"/>
        </w:numPr>
      </w:pPr>
      <w:r>
        <w:t xml:space="preserve">Reward-Einlösungen;</w:t>
      </w:r>
    </w:p>
    <w:p>
      <w:pPr>
        <w:pStyle w:val="Compact"/>
        <w:numPr>
          <w:ilvl w:val="0"/>
          <w:numId w:val="1011"/>
        </w:numPr>
      </w:pPr>
      <w:r>
        <w:t xml:space="preserve">Annahmenachweise;</w:t>
      </w:r>
    </w:p>
    <w:p>
      <w:pPr>
        <w:pStyle w:val="Compact"/>
        <w:numPr>
          <w:ilvl w:val="0"/>
          <w:numId w:val="1011"/>
        </w:numPr>
      </w:pPr>
      <w:r>
        <w:t xml:space="preserve">Consent-Historie;</w:t>
      </w:r>
    </w:p>
    <w:p>
      <w:pPr>
        <w:pStyle w:val="Compact"/>
        <w:numPr>
          <w:ilvl w:val="0"/>
          <w:numId w:val="1011"/>
        </w:numPr>
      </w:pPr>
      <w:r>
        <w:t xml:space="preserve">Audit-Ereignisse;</w:t>
      </w:r>
    </w:p>
    <w:p>
      <w:pPr>
        <w:pStyle w:val="Compact"/>
        <w:numPr>
          <w:ilvl w:val="0"/>
          <w:numId w:val="1011"/>
        </w:numPr>
      </w:pPr>
      <w:r>
        <w:t xml:space="preserve">Sicherheitsereignisse.</w:t>
      </w:r>
    </w:p>
    <w:p>
      <w:pPr>
        <w:pStyle w:val="FirstParagraph"/>
      </w:pPr>
      <w:r>
        <w:t xml:space="preserve">Korrekturen historischer Daten erfolgen durch:</w:t>
      </w:r>
    </w:p>
    <w:p>
      <w:pPr>
        <w:pStyle w:val="Compact"/>
        <w:numPr>
          <w:ilvl w:val="0"/>
          <w:numId w:val="1012"/>
        </w:numPr>
      </w:pPr>
      <w:r>
        <w:t xml:space="preserve">Gegenbuchung;</w:t>
      </w:r>
    </w:p>
    <w:p>
      <w:pPr>
        <w:pStyle w:val="Compact"/>
        <w:numPr>
          <w:ilvl w:val="0"/>
          <w:numId w:val="1012"/>
        </w:numPr>
      </w:pPr>
      <w:r>
        <w:t xml:space="preserve">Ergänzung;</w:t>
      </w:r>
    </w:p>
    <w:p>
      <w:pPr>
        <w:pStyle w:val="Compact"/>
        <w:numPr>
          <w:ilvl w:val="0"/>
          <w:numId w:val="1012"/>
        </w:numPr>
      </w:pPr>
      <w:r>
        <w:t xml:space="preserve">Korrekturereignis;</w:t>
      </w:r>
    </w:p>
    <w:p>
      <w:pPr>
        <w:pStyle w:val="Compact"/>
        <w:numPr>
          <w:ilvl w:val="0"/>
          <w:numId w:val="1012"/>
        </w:numPr>
      </w:pPr>
      <w:r>
        <w:t xml:space="preserve">dokumentierte neue Version.</w:t>
      </w:r>
    </w:p>
    <w:bookmarkEnd w:id="31"/>
    <w:bookmarkStart w:id="32" w:name="einschränkung"/>
    <w:p>
      <w:pPr>
        <w:pStyle w:val="Heading2"/>
      </w:pPr>
      <w:r>
        <w:t xml:space="preserve">4.4 Einschränkung</w:t>
      </w:r>
    </w:p>
    <w:p>
      <w:pPr>
        <w:pStyle w:val="FirstParagraph"/>
      </w:pPr>
      <w:r>
        <w:t xml:space="preserve">Wenn Daten vorerst nicht gelöscht werden dürfen oder eine Prüfung erforderlich ist, kann die Verarbeitung eingeschränkt werden.</w:t>
      </w:r>
    </w:p>
    <w:p>
      <w:pPr>
        <w:pStyle w:val="BodyText"/>
      </w:pPr>
      <w:r>
        <w:t xml:space="preserve">Status:</w:t>
      </w:r>
    </w:p>
    <w:p>
      <w:pPr>
        <w:pStyle w:val="SourceCode"/>
      </w:pPr>
      <w:r>
        <w:rPr>
          <w:rStyle w:val="VerbatimChar"/>
        </w:rPr>
        <w:t xml:space="preserve">PROCESSING_RESTRICTED</w:t>
      </w:r>
    </w:p>
    <w:p>
      <w:pPr>
        <w:pStyle w:val="FirstParagraph"/>
      </w:pPr>
      <w:r>
        <w:t xml:space="preserve">Während der Einschränkung dürfen Daten grundsätzlich nur noch verarbeitet werden für:</w:t>
      </w:r>
    </w:p>
    <w:p>
      <w:pPr>
        <w:pStyle w:val="Compact"/>
        <w:numPr>
          <w:ilvl w:val="0"/>
          <w:numId w:val="1013"/>
        </w:numPr>
      </w:pPr>
      <w:r>
        <w:t xml:space="preserve">Speicherung;</w:t>
      </w:r>
    </w:p>
    <w:p>
      <w:pPr>
        <w:pStyle w:val="Compact"/>
        <w:numPr>
          <w:ilvl w:val="0"/>
          <w:numId w:val="1013"/>
        </w:numPr>
      </w:pPr>
      <w:r>
        <w:t xml:space="preserve">rechtliche Prüfung;</w:t>
      </w:r>
    </w:p>
    <w:p>
      <w:pPr>
        <w:pStyle w:val="Compact"/>
        <w:numPr>
          <w:ilvl w:val="0"/>
          <w:numId w:val="1013"/>
        </w:numPr>
      </w:pPr>
      <w:r>
        <w:t xml:space="preserve">Rechtsansprüche;</w:t>
      </w:r>
    </w:p>
    <w:p>
      <w:pPr>
        <w:pStyle w:val="Compact"/>
        <w:numPr>
          <w:ilvl w:val="0"/>
          <w:numId w:val="1013"/>
        </w:numPr>
      </w:pPr>
      <w:r>
        <w:t xml:space="preserve">gesetzliche Pflichten;</w:t>
      </w:r>
    </w:p>
    <w:p>
      <w:pPr>
        <w:pStyle w:val="Compact"/>
        <w:numPr>
          <w:ilvl w:val="0"/>
          <w:numId w:val="1013"/>
        </w:numPr>
      </w:pPr>
      <w:r>
        <w:t xml:space="preserve">ausdrücklich zulässige Ausnahmen.</w:t>
      </w:r>
    </w:p>
    <w:p>
      <w:pPr>
        <w:pStyle w:val="FirstParagraph"/>
      </w:pPr>
      <w:r>
        <w:t xml:space="preserve">Folgende Vorgänge werden blockiert:</w:t>
      </w:r>
    </w:p>
    <w:p>
      <w:pPr>
        <w:pStyle w:val="Compact"/>
        <w:numPr>
          <w:ilvl w:val="0"/>
          <w:numId w:val="1014"/>
        </w:numPr>
      </w:pPr>
      <w:r>
        <w:t xml:space="preserve">Marketing;</w:t>
      </w:r>
    </w:p>
    <w:p>
      <w:pPr>
        <w:pStyle w:val="Compact"/>
        <w:numPr>
          <w:ilvl w:val="0"/>
          <w:numId w:val="1014"/>
        </w:numPr>
      </w:pPr>
      <w:r>
        <w:t xml:space="preserve">Profiling;</w:t>
      </w:r>
    </w:p>
    <w:p>
      <w:pPr>
        <w:pStyle w:val="Compact"/>
        <w:numPr>
          <w:ilvl w:val="0"/>
          <w:numId w:val="1014"/>
        </w:numPr>
      </w:pPr>
      <w:r>
        <w:t xml:space="preserve">personalisierte Empfehlungen;</w:t>
      </w:r>
    </w:p>
    <w:p>
      <w:pPr>
        <w:pStyle w:val="Compact"/>
        <w:numPr>
          <w:ilvl w:val="0"/>
          <w:numId w:val="1014"/>
        </w:numPr>
      </w:pPr>
      <w:r>
        <w:t xml:space="preserve">neue freiwillige Auswertungen;</w:t>
      </w:r>
    </w:p>
    <w:p>
      <w:pPr>
        <w:pStyle w:val="Compact"/>
        <w:numPr>
          <w:ilvl w:val="0"/>
          <w:numId w:val="1014"/>
        </w:numPr>
      </w:pPr>
      <w:r>
        <w:t xml:space="preserve">nicht notwendige Exporte an Dritte.</w:t>
      </w:r>
    </w:p>
    <w:bookmarkEnd w:id="32"/>
    <w:bookmarkStart w:id="33" w:name="löschung"/>
    <w:p>
      <w:pPr>
        <w:pStyle w:val="Heading2"/>
      </w:pPr>
      <w:r>
        <w:t xml:space="preserve">4.5 Löschung</w:t>
      </w:r>
    </w:p>
    <w:p>
      <w:pPr>
        <w:pStyle w:val="FirstParagraph"/>
      </w:pPr>
      <w:r>
        <w:t xml:space="preserve">Ein Gast kann die Löschung seiner personenbezogenen Daten beantragen, soweit keine gesetzlichen oder sonstigen zulässigen Gründe entgegenstehen.</w:t>
      </w:r>
    </w:p>
    <w:p>
      <w:pPr>
        <w:pStyle w:val="BodyText"/>
      </w:pPr>
      <w:r>
        <w:t xml:space="preserve">Löschung kann bedeuten:</w:t>
      </w:r>
    </w:p>
    <w:p>
      <w:pPr>
        <w:pStyle w:val="Compact"/>
        <w:numPr>
          <w:ilvl w:val="0"/>
          <w:numId w:val="1015"/>
        </w:numPr>
      </w:pPr>
      <w:r>
        <w:t xml:space="preserve">physische Löschung;</w:t>
      </w:r>
    </w:p>
    <w:p>
      <w:pPr>
        <w:pStyle w:val="Compact"/>
        <w:numPr>
          <w:ilvl w:val="0"/>
          <w:numId w:val="1015"/>
        </w:numPr>
      </w:pPr>
      <w:r>
        <w:t xml:space="preserve">irreversible Anonymisierung;</w:t>
      </w:r>
    </w:p>
    <w:p>
      <w:pPr>
        <w:pStyle w:val="Compact"/>
        <w:numPr>
          <w:ilvl w:val="0"/>
          <w:numId w:val="1015"/>
        </w:numPr>
      </w:pPr>
      <w:r>
        <w:t xml:space="preserve">Trennung von Identifikatoren;</w:t>
      </w:r>
    </w:p>
    <w:p>
      <w:pPr>
        <w:pStyle w:val="Compact"/>
        <w:numPr>
          <w:ilvl w:val="0"/>
          <w:numId w:val="1015"/>
        </w:numPr>
      </w:pPr>
      <w:r>
        <w:t xml:space="preserve">Sperrung bis zum Ende einer Aufbewahrungsfrist;</w:t>
      </w:r>
    </w:p>
    <w:p>
      <w:pPr>
        <w:pStyle w:val="Compact"/>
        <w:numPr>
          <w:ilvl w:val="0"/>
          <w:numId w:val="1015"/>
        </w:numPr>
      </w:pPr>
      <w:r>
        <w:t xml:space="preserve">anschließende automatische Löschung.</w:t>
      </w:r>
    </w:p>
    <w:bookmarkEnd w:id="33"/>
    <w:bookmarkStart w:id="34" w:name="widerspruch"/>
    <w:p>
      <w:pPr>
        <w:pStyle w:val="Heading2"/>
      </w:pPr>
      <w:r>
        <w:t xml:space="preserve">4.6 Widerspruch</w:t>
      </w:r>
    </w:p>
    <w:p>
      <w:pPr>
        <w:pStyle w:val="FirstParagraph"/>
      </w:pPr>
      <w:r>
        <w:t xml:space="preserve">Widerspricht ein Gast Direktwerbung, muss die werbliche Verarbeitung unverzüglich gestoppt werden.</w:t>
      </w:r>
    </w:p>
    <w:p>
      <w:pPr>
        <w:pStyle w:val="BodyText"/>
      </w:pPr>
      <w:r>
        <w:t xml:space="preserve">Für Marketing gilt:</w:t>
      </w:r>
    </w:p>
    <w:p>
      <w:pPr>
        <w:pStyle w:val="SourceCode"/>
      </w:pPr>
      <w:r>
        <w:rPr>
          <w:rStyle w:val="VerbatimChar"/>
        </w:rPr>
        <w:t xml:space="preserve">Widerspruch oder Widerruf</w:t>
      </w:r>
      <w:r>
        <w:br/>
      </w:r>
      <w:r>
        <w:rPr>
          <w:rStyle w:val="VerbatimChar"/>
        </w:rPr>
        <w:t xml:space="preserve">= sofortiges Versandverbot</w:t>
      </w:r>
    </w:p>
    <w:p>
      <w:pPr>
        <w:pStyle w:val="FirstParagraph"/>
      </w:pPr>
      <w:r>
        <w:t xml:space="preserve">Der Punktestand oder die Programmteilnahme dürfen dadurch grundsätzlich nicht beeinträchtigt werden.</w:t>
      </w:r>
    </w:p>
    <w:bookmarkEnd w:id="34"/>
    <w:bookmarkStart w:id="35" w:name="widerruf-einer-einwilligung"/>
    <w:p>
      <w:pPr>
        <w:pStyle w:val="Heading2"/>
      </w:pPr>
      <w:r>
        <w:t xml:space="preserve">4.7 Widerruf einer Einwilligung</w:t>
      </w:r>
    </w:p>
    <w:p>
      <w:pPr>
        <w:pStyle w:val="FirstParagraph"/>
      </w:pPr>
      <w:r>
        <w:t xml:space="preserve">Ein Widerruf wirkt für die Zukunft.</w:t>
      </w:r>
    </w:p>
    <w:p>
      <w:pPr>
        <w:pStyle w:val="BodyText"/>
      </w:pPr>
      <w:r>
        <w:t xml:space="preserve">Er löscht nicht automatisch:</w:t>
      </w:r>
    </w:p>
    <w:p>
      <w:pPr>
        <w:pStyle w:val="Compact"/>
        <w:numPr>
          <w:ilvl w:val="0"/>
          <w:numId w:val="1016"/>
        </w:numPr>
      </w:pPr>
      <w:r>
        <w:t xml:space="preserve">vergangene rechtmäßige Verarbeitungen;</w:t>
      </w:r>
    </w:p>
    <w:p>
      <w:pPr>
        <w:pStyle w:val="Compact"/>
        <w:numPr>
          <w:ilvl w:val="0"/>
          <w:numId w:val="1016"/>
        </w:numPr>
      </w:pPr>
      <w:r>
        <w:t xml:space="preserve">Consent-Nachweise;</w:t>
      </w:r>
    </w:p>
    <w:p>
      <w:pPr>
        <w:pStyle w:val="Compact"/>
        <w:numPr>
          <w:ilvl w:val="0"/>
          <w:numId w:val="1016"/>
        </w:numPr>
      </w:pPr>
      <w:r>
        <w:t xml:space="preserve">notwendige Sperrlisteneinträge;</w:t>
      </w:r>
    </w:p>
    <w:p>
      <w:pPr>
        <w:pStyle w:val="Compact"/>
        <w:numPr>
          <w:ilvl w:val="0"/>
          <w:numId w:val="1016"/>
        </w:numPr>
      </w:pPr>
      <w:r>
        <w:t xml:space="preserve">gesetzlich aufzubewahrende Unterlagen.</w:t>
      </w:r>
    </w:p>
    <w:p>
      <w:r>
        <w:pict>
          <v:rect style="width:0;height:1.5pt" o:hralign="center" o:hrstd="t" o:hr="t"/>
        </w:pict>
      </w:r>
    </w:p>
    <w:bookmarkEnd w:id="35"/>
    <w:bookmarkEnd w:id="36"/>
    <w:bookmarkStart w:id="40" w:name="antragseingang"/>
    <w:p>
      <w:pPr>
        <w:pStyle w:val="Heading1"/>
      </w:pPr>
      <w:r>
        <w:t xml:space="preserve">5. Antragseingang</w:t>
      </w:r>
    </w:p>
    <w:bookmarkStart w:id="37" w:name="kanäle"/>
    <w:p>
      <w:pPr>
        <w:pStyle w:val="Heading2"/>
      </w:pPr>
      <w:r>
        <w:t xml:space="preserve">5.1 Kanäle</w:t>
      </w:r>
    </w:p>
    <w:p>
      <w:pPr>
        <w:pStyle w:val="FirstParagraph"/>
      </w:pPr>
      <w:r>
        <w:t xml:space="preserve">Betroffenenanträge können eingehen über:</w:t>
      </w:r>
    </w:p>
    <w:p>
      <w:pPr>
        <w:pStyle w:val="Compact"/>
        <w:numPr>
          <w:ilvl w:val="0"/>
          <w:numId w:val="1017"/>
        </w:numPr>
      </w:pPr>
      <w:r>
        <w:t xml:space="preserve">Kundenkonto;</w:t>
      </w:r>
    </w:p>
    <w:p>
      <w:pPr>
        <w:pStyle w:val="Compact"/>
        <w:numPr>
          <w:ilvl w:val="0"/>
          <w:numId w:val="1017"/>
        </w:numPr>
      </w:pPr>
      <w:r>
        <w:t xml:space="preserve">öffentliches Datenschutzformular;</w:t>
      </w:r>
    </w:p>
    <w:p>
      <w:pPr>
        <w:pStyle w:val="Compact"/>
        <w:numPr>
          <w:ilvl w:val="0"/>
          <w:numId w:val="1017"/>
        </w:numPr>
      </w:pPr>
      <w:r>
        <w:t xml:space="preserve">E-Mail;</w:t>
      </w:r>
    </w:p>
    <w:p>
      <w:pPr>
        <w:pStyle w:val="Compact"/>
        <w:numPr>
          <w:ilvl w:val="0"/>
          <w:numId w:val="1017"/>
        </w:numPr>
      </w:pPr>
      <w:r>
        <w:t xml:space="preserve">schriftliche Anfrage;</w:t>
      </w:r>
    </w:p>
    <w:p>
      <w:pPr>
        <w:pStyle w:val="Compact"/>
        <w:numPr>
          <w:ilvl w:val="0"/>
          <w:numId w:val="1017"/>
        </w:numPr>
      </w:pPr>
      <w:r>
        <w:t xml:space="preserve">Restaurantkontakt;</w:t>
      </w:r>
    </w:p>
    <w:p>
      <w:pPr>
        <w:pStyle w:val="Compact"/>
        <w:numPr>
          <w:ilvl w:val="0"/>
          <w:numId w:val="1017"/>
        </w:numPr>
      </w:pPr>
      <w:r>
        <w:t xml:space="preserve">WUXUAI Support;</w:t>
      </w:r>
    </w:p>
    <w:p>
      <w:pPr>
        <w:pStyle w:val="Compact"/>
        <w:numPr>
          <w:ilvl w:val="0"/>
          <w:numId w:val="1017"/>
        </w:numPr>
      </w:pPr>
      <w:r>
        <w:t xml:space="preserve">Owner-Portal im Namen des Gastes.</w:t>
      </w:r>
    </w:p>
    <w:bookmarkEnd w:id="37"/>
    <w:bookmarkStart w:id="38" w:name="kundenportal"/>
    <w:p>
      <w:pPr>
        <w:pStyle w:val="Heading2"/>
      </w:pPr>
      <w:r>
        <w:t xml:space="preserve">5.2 Kundenportal</w:t>
      </w:r>
    </w:p>
    <w:p>
      <w:pPr>
        <w:pStyle w:val="FirstParagraph"/>
      </w:pPr>
      <w:r>
        <w:t xml:space="preserve">Empfohlene Seiten:</w:t>
      </w:r>
    </w:p>
    <w:p>
      <w:pPr>
        <w:pStyle w:val="SourceCode"/>
      </w:pPr>
      <w:r>
        <w:rPr>
          <w:rStyle w:val="VerbatimChar"/>
        </w:rPr>
        <w:t xml:space="preserve">/account/legal/export</w:t>
      </w:r>
      <w:r>
        <w:br/>
      </w:r>
      <w:r>
        <w:rPr>
          <w:rStyle w:val="VerbatimChar"/>
        </w:rPr>
        <w:t xml:space="preserve">/account/legal/delete</w:t>
      </w:r>
      <w:r>
        <w:br/>
      </w:r>
      <w:r>
        <w:rPr>
          <w:rStyle w:val="VerbatimChar"/>
        </w:rPr>
        <w:t xml:space="preserve">/account/legal/correct</w:t>
      </w:r>
      <w:r>
        <w:br/>
      </w:r>
      <w:r>
        <w:rPr>
          <w:rStyle w:val="VerbatimChar"/>
        </w:rPr>
        <w:t xml:space="preserve">/account/legal/restrict</w:t>
      </w:r>
      <w:r>
        <w:br/>
      </w:r>
      <w:r>
        <w:rPr>
          <w:rStyle w:val="VerbatimChar"/>
        </w:rPr>
        <w:t xml:space="preserve">/account/legal/requests</w:t>
      </w:r>
    </w:p>
    <w:bookmarkEnd w:id="38"/>
    <w:bookmarkStart w:id="39" w:name="pflichtangaben-eines-antrags"/>
    <w:p>
      <w:pPr>
        <w:pStyle w:val="Heading2"/>
      </w:pPr>
      <w:r>
        <w:t xml:space="preserve">5.3 Pflichtangaben eines Antrags</w:t>
      </w:r>
    </w:p>
    <w:p>
      <w:pPr>
        <w:pStyle w:val="SourceCode"/>
      </w:pPr>
      <w:r>
        <w:rPr>
          <w:rStyle w:val="VerbatimChar"/>
        </w:rPr>
        <w:t xml:space="preserve">request_type</w:t>
      </w:r>
      <w:r>
        <w:br/>
      </w:r>
      <w:r>
        <w:rPr>
          <w:rStyle w:val="VerbatimChar"/>
        </w:rPr>
        <w:t xml:space="preserve">customer_reference</w:t>
      </w:r>
      <w:r>
        <w:br/>
      </w:r>
      <w:r>
        <w:rPr>
          <w:rStyle w:val="VerbatimChar"/>
        </w:rPr>
        <w:t xml:space="preserve">restaurant_scope</w:t>
      </w:r>
      <w:r>
        <w:br/>
      </w:r>
      <w:r>
        <w:rPr>
          <w:rStyle w:val="VerbatimChar"/>
        </w:rPr>
        <w:t xml:space="preserve">contact_method</w:t>
      </w:r>
      <w:r>
        <w:br/>
      </w:r>
      <w:r>
        <w:rPr>
          <w:rStyle w:val="VerbatimChar"/>
        </w:rPr>
        <w:t xml:space="preserve">request_text</w:t>
      </w:r>
      <w:r>
        <w:br/>
      </w:r>
      <w:r>
        <w:rPr>
          <w:rStyle w:val="VerbatimChar"/>
        </w:rPr>
        <w:t xml:space="preserve">submitted_at</w:t>
      </w:r>
      <w:r>
        <w:br/>
      </w:r>
      <w:r>
        <w:rPr>
          <w:rStyle w:val="VerbatimChar"/>
        </w:rPr>
        <w:t xml:space="preserve">source</w:t>
      </w:r>
      <w:r>
        <w:br/>
      </w:r>
      <w:r>
        <w:rPr>
          <w:rStyle w:val="VerbatimChar"/>
        </w:rPr>
        <w:t xml:space="preserve">language</w:t>
      </w:r>
    </w:p>
    <w:p>
      <w:pPr>
        <w:pStyle w:val="FirstParagraph"/>
      </w:pPr>
      <w:r>
        <w:t xml:space="preserve">Optional:</w:t>
      </w:r>
    </w:p>
    <w:p>
      <w:pPr>
        <w:pStyle w:val="SourceCode"/>
      </w:pPr>
      <w:r>
        <w:rPr>
          <w:rStyle w:val="VerbatimChar"/>
        </w:rPr>
        <w:t xml:space="preserve">supporting_information</w:t>
      </w:r>
      <w:r>
        <w:br/>
      </w:r>
      <w:r>
        <w:rPr>
          <w:rStyle w:val="VerbatimChar"/>
        </w:rPr>
        <w:t xml:space="preserve">preferred_export_format</w:t>
      </w:r>
      <w:r>
        <w:br/>
      </w:r>
      <w:r>
        <w:rPr>
          <w:rStyle w:val="VerbatimChar"/>
        </w:rPr>
        <w:t xml:space="preserve">specific_data_scope</w:t>
      </w:r>
      <w:r>
        <w:br/>
      </w:r>
      <w:r>
        <w:rPr>
          <w:rStyle w:val="VerbatimChar"/>
        </w:rPr>
        <w:t xml:space="preserve">reason_optional</w:t>
      </w:r>
    </w:p>
    <w:p>
      <w:pPr>
        <w:pStyle w:val="FirstParagraph"/>
      </w:pPr>
      <w:r>
        <w:t xml:space="preserve">Ein Gast muss für eine Löschung grundsätzlich keinen Grund angeben.</w:t>
      </w:r>
    </w:p>
    <w:p>
      <w:r>
        <w:pict>
          <v:rect style="width:0;height:1.5pt" o:hralign="center" o:hrstd="t" o:hr="t"/>
        </w:pict>
      </w:r>
    </w:p>
    <w:bookmarkEnd w:id="39"/>
    <w:bookmarkEnd w:id="40"/>
    <w:bookmarkStart w:id="46" w:name="identitätsprüfung"/>
    <w:p>
      <w:pPr>
        <w:pStyle w:val="Heading1"/>
      </w:pPr>
      <w:r>
        <w:t xml:space="preserve">6. Identitätsprüfung</w:t>
      </w:r>
    </w:p>
    <w:bookmarkStart w:id="41" w:name="grundsatz-1"/>
    <w:p>
      <w:pPr>
        <w:pStyle w:val="Heading2"/>
      </w:pPr>
      <w:r>
        <w:t xml:space="preserve">6.1 Grundsatz</w:t>
      </w:r>
    </w:p>
    <w:p>
      <w:pPr>
        <w:pStyle w:val="FirstParagraph"/>
      </w:pPr>
      <w:r>
        <w:t xml:space="preserve">Daten dürfen nur an die betroffene Person oder eine wirksam bevollmächtigte Person herausgegeben werden.</w:t>
      </w:r>
    </w:p>
    <w:p>
      <w:pPr>
        <w:pStyle w:val="BodyText"/>
      </w:pPr>
      <w:r>
        <w:t xml:space="preserve">Die Identitätsprüfung muss verhältnismäßig sein.</w:t>
      </w:r>
    </w:p>
    <w:p>
      <w:pPr>
        <w:pStyle w:val="BodyText"/>
      </w:pPr>
      <w:r>
        <w:t xml:space="preserve">Es dürfen nicht pauschal mehr Daten verlangt werden, als zur Identitätsprüfung notwendig sind.</w:t>
      </w:r>
    </w:p>
    <w:bookmarkEnd w:id="41"/>
    <w:bookmarkStart w:id="42" w:name="angemeldeter-gast"/>
    <w:p>
      <w:pPr>
        <w:pStyle w:val="Heading2"/>
      </w:pPr>
      <w:r>
        <w:t xml:space="preserve">6.2 Angemeldeter Gast</w:t>
      </w:r>
    </w:p>
    <w:p>
      <w:pPr>
        <w:pStyle w:val="FirstParagraph"/>
      </w:pPr>
      <w:r>
        <w:t xml:space="preserve">Bei einem eingeloggten Gast können verwendet werden:</w:t>
      </w:r>
    </w:p>
    <w:p>
      <w:pPr>
        <w:pStyle w:val="Compact"/>
        <w:numPr>
          <w:ilvl w:val="0"/>
          <w:numId w:val="1018"/>
        </w:numPr>
      </w:pPr>
      <w:r>
        <w:t xml:space="preserve">gültige Session;</w:t>
      </w:r>
    </w:p>
    <w:p>
      <w:pPr>
        <w:pStyle w:val="Compact"/>
        <w:numPr>
          <w:ilvl w:val="0"/>
          <w:numId w:val="1018"/>
        </w:numPr>
      </w:pPr>
      <w:r>
        <w:t xml:space="preserve">Customer-Token;</w:t>
      </w:r>
    </w:p>
    <w:p>
      <w:pPr>
        <w:pStyle w:val="Compact"/>
        <w:numPr>
          <w:ilvl w:val="0"/>
          <w:numId w:val="1018"/>
        </w:numPr>
      </w:pPr>
      <w:r>
        <w:t xml:space="preserve">Restaurantkontext;</w:t>
      </w:r>
    </w:p>
    <w:p>
      <w:pPr>
        <w:pStyle w:val="Compact"/>
        <w:numPr>
          <w:ilvl w:val="0"/>
          <w:numId w:val="1018"/>
        </w:numPr>
      </w:pPr>
      <w:r>
        <w:t xml:space="preserve">zusätzliche Bestätigung über hinterlegten Kanal;</w:t>
      </w:r>
    </w:p>
    <w:p>
      <w:pPr>
        <w:pStyle w:val="Compact"/>
        <w:numPr>
          <w:ilvl w:val="0"/>
          <w:numId w:val="1018"/>
        </w:numPr>
      </w:pPr>
      <w:r>
        <w:t xml:space="preserve">erneute Eingabe eines einmaligen Codes bei sensiblen Exporten.</w:t>
      </w:r>
    </w:p>
    <w:bookmarkEnd w:id="42"/>
    <w:bookmarkStart w:id="43" w:name="nicht-eingeloggter-gast"/>
    <w:p>
      <w:pPr>
        <w:pStyle w:val="Heading2"/>
      </w:pPr>
      <w:r>
        <w:t xml:space="preserve">6.3 Nicht eingeloggter Gast</w:t>
      </w:r>
    </w:p>
    <w:p>
      <w:pPr>
        <w:pStyle w:val="FirstParagraph"/>
      </w:pPr>
      <w:r>
        <w:t xml:space="preserve">Mögliche Prüfung:</w:t>
      </w:r>
    </w:p>
    <w:p>
      <w:pPr>
        <w:pStyle w:val="Compact"/>
        <w:numPr>
          <w:ilvl w:val="0"/>
          <w:numId w:val="1019"/>
        </w:numPr>
      </w:pPr>
      <w:r>
        <w:t xml:space="preserve">Anfrage über registrierte Telefonnummer oder E-Mail;</w:t>
      </w:r>
    </w:p>
    <w:p>
      <w:pPr>
        <w:pStyle w:val="Compact"/>
        <w:numPr>
          <w:ilvl w:val="0"/>
          <w:numId w:val="1019"/>
        </w:numPr>
      </w:pPr>
      <w:r>
        <w:t xml:space="preserve">einmaliger Bestätigungscode;</w:t>
      </w:r>
    </w:p>
    <w:p>
      <w:pPr>
        <w:pStyle w:val="Compact"/>
        <w:numPr>
          <w:ilvl w:val="0"/>
          <w:numId w:val="1019"/>
        </w:numPr>
      </w:pPr>
      <w:r>
        <w:t xml:space="preserve">Abgleich mit Restaurantkonto;</w:t>
      </w:r>
    </w:p>
    <w:p>
      <w:pPr>
        <w:pStyle w:val="Compact"/>
        <w:numPr>
          <w:ilvl w:val="0"/>
          <w:numId w:val="1019"/>
        </w:numPr>
      </w:pPr>
      <w:r>
        <w:t xml:space="preserve">gegebenenfalls weitere gezielte Information.</w:t>
      </w:r>
    </w:p>
    <w:bookmarkEnd w:id="43"/>
    <w:bookmarkStart w:id="44" w:name="unsicherheit"/>
    <w:p>
      <w:pPr>
        <w:pStyle w:val="Heading2"/>
      </w:pPr>
      <w:r>
        <w:t xml:space="preserve">6.4 Unsicherheit</w:t>
      </w:r>
    </w:p>
    <w:p>
      <w:pPr>
        <w:pStyle w:val="FirstParagraph"/>
      </w:pPr>
      <w:r>
        <w:t xml:space="preserve">Bestehen begründete Zweifel, kann eine zusätzliche Identitätsinformation angefordert werden.</w:t>
      </w:r>
    </w:p>
    <w:p>
      <w:pPr>
        <w:pStyle w:val="BodyText"/>
      </w:pPr>
      <w:r>
        <w:t xml:space="preserve">Unzulässig wäre regelmäßig:</w:t>
      </w:r>
    </w:p>
    <w:p>
      <w:pPr>
        <w:pStyle w:val="Compact"/>
        <w:numPr>
          <w:ilvl w:val="0"/>
          <w:numId w:val="1020"/>
        </w:numPr>
      </w:pPr>
      <w:r>
        <w:t xml:space="preserve">pauschale Ausweiskopie ohne konkreten Bedarf;</w:t>
      </w:r>
    </w:p>
    <w:p>
      <w:pPr>
        <w:pStyle w:val="Compact"/>
        <w:numPr>
          <w:ilvl w:val="0"/>
          <w:numId w:val="1020"/>
        </w:numPr>
      </w:pPr>
      <w:r>
        <w:t xml:space="preserve">Abfrage vollständiger Zahlungsdaten;</w:t>
      </w:r>
    </w:p>
    <w:p>
      <w:pPr>
        <w:pStyle w:val="Compact"/>
        <w:numPr>
          <w:ilvl w:val="0"/>
          <w:numId w:val="1020"/>
        </w:numPr>
      </w:pPr>
      <w:r>
        <w:t xml:space="preserve">Abfrage unnötiger privater Informationen.</w:t>
      </w:r>
    </w:p>
    <w:bookmarkEnd w:id="44"/>
    <w:bookmarkStart w:id="45" w:name="bevollmächtigte-personen"/>
    <w:p>
      <w:pPr>
        <w:pStyle w:val="Heading2"/>
      </w:pPr>
      <w:r>
        <w:t xml:space="preserve">6.5 Bevollmächtigte Personen</w:t>
      </w:r>
    </w:p>
    <w:p>
      <w:pPr>
        <w:pStyle w:val="FirstParagraph"/>
      </w:pPr>
      <w:r>
        <w:t xml:space="preserve">Erforderlich:</w:t>
      </w:r>
    </w:p>
    <w:p>
      <w:pPr>
        <w:pStyle w:val="Compact"/>
        <w:numPr>
          <w:ilvl w:val="0"/>
          <w:numId w:val="1021"/>
        </w:numPr>
      </w:pPr>
      <w:r>
        <w:t xml:space="preserve">Nachweis der Bevollmächtigung;</w:t>
      </w:r>
    </w:p>
    <w:p>
      <w:pPr>
        <w:pStyle w:val="Compact"/>
        <w:numPr>
          <w:ilvl w:val="0"/>
          <w:numId w:val="1021"/>
        </w:numPr>
      </w:pPr>
      <w:r>
        <w:t xml:space="preserve">Identitätsprüfung der bevollmächtigten Person;</w:t>
      </w:r>
    </w:p>
    <w:p>
      <w:pPr>
        <w:pStyle w:val="Compact"/>
        <w:numPr>
          <w:ilvl w:val="0"/>
          <w:numId w:val="1021"/>
        </w:numPr>
      </w:pPr>
      <w:r>
        <w:t xml:space="preserve">klarer Umfang der Vollmacht;</w:t>
      </w:r>
    </w:p>
    <w:p>
      <w:pPr>
        <w:pStyle w:val="Compact"/>
        <w:numPr>
          <w:ilvl w:val="0"/>
          <w:numId w:val="1021"/>
        </w:numPr>
      </w:pPr>
      <w:r>
        <w:t xml:space="preserve">Auditnachweis.</w:t>
      </w:r>
    </w:p>
    <w:p>
      <w:r>
        <w:pict>
          <v:rect style="width:0;height:1.5pt" o:hralign="center" o:hrstd="t" o:hr="t"/>
        </w:pict>
      </w:r>
    </w:p>
    <w:bookmarkEnd w:id="45"/>
    <w:bookmarkEnd w:id="46"/>
    <w:bookmarkStart w:id="47" w:name="fristen-und-statusmodell"/>
    <w:p>
      <w:pPr>
        <w:pStyle w:val="Heading1"/>
      </w:pPr>
      <w:r>
        <w:t xml:space="preserve">7. Fristen und Statusmodell</w:t>
      </w:r>
    </w:p>
    <w:p>
      <w:pPr>
        <w:pStyle w:val="FirstParagraph"/>
      </w:pPr>
      <w:r>
        <w:t xml:space="preserve">Die konkrete gesetzliche Frist muss im finalen Text vom Rechtsanwalt bestätigt werden.</w:t>
      </w:r>
    </w:p>
    <w:p>
      <w:pPr>
        <w:pStyle w:val="BodyText"/>
      </w:pPr>
      <w:r>
        <w:t xml:space="preserve">Die Plattform soll folgende Statuswerte verwenden:</w:t>
      </w:r>
    </w:p>
    <w:p>
      <w:pPr>
        <w:pStyle w:val="SourceCode"/>
      </w:pPr>
      <w:r>
        <w:rPr>
          <w:rStyle w:val="VerbatimChar"/>
        </w:rPr>
        <w:t xml:space="preserve">RECEIVED</w:t>
      </w:r>
      <w:r>
        <w:br/>
      </w:r>
      <w:r>
        <w:rPr>
          <w:rStyle w:val="VerbatimChar"/>
        </w:rPr>
        <w:t xml:space="preserve">IDENTITY_PENDING</w:t>
      </w:r>
      <w:r>
        <w:br/>
      </w:r>
      <w:r>
        <w:rPr>
          <w:rStyle w:val="VerbatimChar"/>
        </w:rPr>
        <w:t xml:space="preserve">IDENTITY_VERIFIED</w:t>
      </w:r>
      <w:r>
        <w:br/>
      </w:r>
      <w:r>
        <w:rPr>
          <w:rStyle w:val="VerbatimChar"/>
        </w:rPr>
        <w:t xml:space="preserve">ASSIGNED_TO_CONTROLLER</w:t>
      </w:r>
      <w:r>
        <w:br/>
      </w:r>
      <w:r>
        <w:rPr>
          <w:rStyle w:val="VerbatimChar"/>
        </w:rPr>
        <w:t xml:space="preserve">IN_REVIEW</w:t>
      </w:r>
      <w:r>
        <w:br/>
      </w:r>
      <w:r>
        <w:rPr>
          <w:rStyle w:val="VerbatimChar"/>
        </w:rPr>
        <w:t xml:space="preserve">RESTRICTED</w:t>
      </w:r>
      <w:r>
        <w:br/>
      </w:r>
      <w:r>
        <w:rPr>
          <w:rStyle w:val="VerbatimChar"/>
        </w:rPr>
        <w:t xml:space="preserve">APPROVED</w:t>
      </w:r>
      <w:r>
        <w:br/>
      </w:r>
      <w:r>
        <w:rPr>
          <w:rStyle w:val="VerbatimChar"/>
        </w:rPr>
        <w:t xml:space="preserve">PARTIALLY_APPROVED</w:t>
      </w:r>
      <w:r>
        <w:br/>
      </w:r>
      <w:r>
        <w:rPr>
          <w:rStyle w:val="VerbatimChar"/>
        </w:rPr>
        <w:t xml:space="preserve">REJECTED</w:t>
      </w:r>
      <w:r>
        <w:br/>
      </w:r>
      <w:r>
        <w:rPr>
          <w:rStyle w:val="VerbatimChar"/>
        </w:rPr>
        <w:t xml:space="preserve">EXPORT_PREPARING</w:t>
      </w:r>
      <w:r>
        <w:br/>
      </w:r>
      <w:r>
        <w:rPr>
          <w:rStyle w:val="VerbatimChar"/>
        </w:rPr>
        <w:t xml:space="preserve">EXPORT_READY</w:t>
      </w:r>
      <w:r>
        <w:br/>
      </w:r>
      <w:r>
        <w:rPr>
          <w:rStyle w:val="VerbatimChar"/>
        </w:rPr>
        <w:t xml:space="preserve">DELETION_SCHEDULED</w:t>
      </w:r>
      <w:r>
        <w:br/>
      </w:r>
      <w:r>
        <w:rPr>
          <w:rStyle w:val="VerbatimChar"/>
        </w:rPr>
        <w:t xml:space="preserve">DELETION_EXECUTED</w:t>
      </w:r>
      <w:r>
        <w:br/>
      </w:r>
      <w:r>
        <w:rPr>
          <w:rStyle w:val="VerbatimChar"/>
        </w:rPr>
        <w:t xml:space="preserve">COMPLETED</w:t>
      </w:r>
      <w:r>
        <w:br/>
      </w:r>
      <w:r>
        <w:rPr>
          <w:rStyle w:val="VerbatimChar"/>
        </w:rPr>
        <w:t xml:space="preserve">CANCELLED</w:t>
      </w:r>
    </w:p>
    <w:p>
      <w:pPr>
        <w:pStyle w:val="FirstParagraph"/>
      </w:pPr>
      <w:r>
        <w:t xml:space="preserve">Zusätzlich:</w:t>
      </w:r>
    </w:p>
    <w:p>
      <w:pPr>
        <w:pStyle w:val="SourceCode"/>
      </w:pPr>
      <w:r>
        <w:rPr>
          <w:rStyle w:val="VerbatimChar"/>
        </w:rPr>
        <w:t xml:space="preserve">received_at</w:t>
      </w:r>
      <w:r>
        <w:br/>
      </w:r>
      <w:r>
        <w:rPr>
          <w:rStyle w:val="VerbatimChar"/>
        </w:rPr>
        <w:t xml:space="preserve">identity_verified_at</w:t>
      </w:r>
      <w:r>
        <w:br/>
      </w:r>
      <w:r>
        <w:rPr>
          <w:rStyle w:val="VerbatimChar"/>
        </w:rPr>
        <w:t xml:space="preserve">due_at</w:t>
      </w:r>
      <w:r>
        <w:br/>
      </w:r>
      <w:r>
        <w:rPr>
          <w:rStyle w:val="VerbatimChar"/>
        </w:rPr>
        <w:t xml:space="preserve">extended_due_at</w:t>
      </w:r>
      <w:r>
        <w:br/>
      </w:r>
      <w:r>
        <w:rPr>
          <w:rStyle w:val="VerbatimChar"/>
        </w:rPr>
        <w:t xml:space="preserve">completed_at</w:t>
      </w:r>
      <w:r>
        <w:br/>
      </w:r>
      <w:r>
        <w:rPr>
          <w:rStyle w:val="VerbatimChar"/>
        </w:rPr>
        <w:t xml:space="preserve">extension_reason</w:t>
      </w:r>
      <w:r>
        <w:br/>
      </w:r>
      <w:r>
        <w:rPr>
          <w:rStyle w:val="VerbatimChar"/>
        </w:rPr>
        <w:t xml:space="preserve">rejection_reason</w:t>
      </w:r>
    </w:p>
    <w:p>
      <w:pPr>
        <w:pStyle w:val="FirstParagraph"/>
      </w:pPr>
      <w:r>
        <w:t xml:space="preserve">Die Plattform muss rechtzeitig warnen:</w:t>
      </w:r>
    </w:p>
    <w:p>
      <w:pPr>
        <w:pStyle w:val="SourceCode"/>
      </w:pPr>
      <w:r>
        <w:rPr>
          <w:rStyle w:val="VerbatimChar"/>
        </w:rPr>
        <w:t xml:space="preserve">14 Tage vor Frist</w:t>
      </w:r>
      <w:r>
        <w:br/>
      </w:r>
      <w:r>
        <w:rPr>
          <w:rStyle w:val="VerbatimChar"/>
        </w:rPr>
        <w:t xml:space="preserve">7 Tage vor Frist</w:t>
      </w:r>
      <w:r>
        <w:br/>
      </w:r>
      <w:r>
        <w:rPr>
          <w:rStyle w:val="VerbatimChar"/>
        </w:rPr>
        <w:t xml:space="preserve">3 Tage vor Frist</w:t>
      </w:r>
      <w:r>
        <w:br/>
      </w:r>
      <w:r>
        <w:rPr>
          <w:rStyle w:val="VerbatimChar"/>
        </w:rPr>
        <w:t xml:space="preserve">am Fälligkeitstag</w:t>
      </w:r>
    </w:p>
    <w:p>
      <w:pPr>
        <w:pStyle w:val="FirstParagraph"/>
      </w:pPr>
      <w:r>
        <w:t xml:space="preserve">Eine Fristverlängerung darf nur:</w:t>
      </w:r>
    </w:p>
    <w:p>
      <w:pPr>
        <w:pStyle w:val="Compact"/>
        <w:numPr>
          <w:ilvl w:val="0"/>
          <w:numId w:val="1022"/>
        </w:numPr>
      </w:pPr>
      <w:r>
        <w:t xml:space="preserve">begründet;</w:t>
      </w:r>
    </w:p>
    <w:p>
      <w:pPr>
        <w:pStyle w:val="Compact"/>
        <w:numPr>
          <w:ilvl w:val="0"/>
          <w:numId w:val="1022"/>
        </w:numPr>
      </w:pPr>
      <w:r>
        <w:t xml:space="preserve">dokumentiert;</w:t>
      </w:r>
    </w:p>
    <w:p>
      <w:pPr>
        <w:pStyle w:val="Compact"/>
        <w:numPr>
          <w:ilvl w:val="0"/>
          <w:numId w:val="1022"/>
        </w:numPr>
      </w:pPr>
      <w:r>
        <w:t xml:space="preserve">rechtzeitig kommuniziert</w:t>
      </w:r>
    </w:p>
    <w:p>
      <w:pPr>
        <w:pStyle w:val="FirstParagraph"/>
      </w:pPr>
      <w:r>
        <w:t xml:space="preserve">werden.</w:t>
      </w:r>
    </w:p>
    <w:p>
      <w:r>
        <w:pict>
          <v:rect style="width:0;height:1.5pt" o:hralign="center" o:hrstd="t" o:hr="t"/>
        </w:pict>
      </w:r>
    </w:p>
    <w:bookmarkEnd w:id="47"/>
    <w:bookmarkStart w:id="57" w:name="exportumfang"/>
    <w:p>
      <w:pPr>
        <w:pStyle w:val="Heading1"/>
      </w:pPr>
      <w:r>
        <w:t xml:space="preserve">8. Exportumfang</w:t>
      </w:r>
    </w:p>
    <w:bookmarkStart w:id="48" w:name="kundenstammdaten"/>
    <w:p>
      <w:pPr>
        <w:pStyle w:val="Heading2"/>
      </w:pPr>
      <w:r>
        <w:t xml:space="preserve">8.1 Kundenstammdaten</w:t>
      </w:r>
    </w:p>
    <w:p>
      <w:pPr>
        <w:pStyle w:val="Compact"/>
        <w:numPr>
          <w:ilvl w:val="0"/>
          <w:numId w:val="1023"/>
        </w:numPr>
      </w:pPr>
      <w:r>
        <w:t xml:space="preserve">interne Kunden-ID;</w:t>
      </w:r>
    </w:p>
    <w:p>
      <w:pPr>
        <w:pStyle w:val="Compact"/>
        <w:numPr>
          <w:ilvl w:val="0"/>
          <w:numId w:val="1023"/>
        </w:numPr>
      </w:pPr>
      <w:r>
        <w:t xml:space="preserve">Vorname;</w:t>
      </w:r>
    </w:p>
    <w:p>
      <w:pPr>
        <w:pStyle w:val="Compact"/>
        <w:numPr>
          <w:ilvl w:val="0"/>
          <w:numId w:val="1023"/>
        </w:numPr>
      </w:pPr>
      <w:r>
        <w:t xml:space="preserve">Telefonnummer;</w:t>
      </w:r>
    </w:p>
    <w:p>
      <w:pPr>
        <w:pStyle w:val="Compact"/>
        <w:numPr>
          <w:ilvl w:val="0"/>
          <w:numId w:val="1023"/>
        </w:numPr>
      </w:pPr>
      <w:r>
        <w:t xml:space="preserve">E-Mail-Adresse;</w:t>
      </w:r>
    </w:p>
    <w:p>
      <w:pPr>
        <w:pStyle w:val="Compact"/>
        <w:numPr>
          <w:ilvl w:val="0"/>
          <w:numId w:val="1023"/>
        </w:numPr>
      </w:pPr>
      <w:r>
        <w:t xml:space="preserve">Sprache;</w:t>
      </w:r>
    </w:p>
    <w:p>
      <w:pPr>
        <w:pStyle w:val="Compact"/>
        <w:numPr>
          <w:ilvl w:val="0"/>
          <w:numId w:val="1023"/>
        </w:numPr>
      </w:pPr>
      <w:r>
        <w:t xml:space="preserve">Registrierungszeitpunkt;</w:t>
      </w:r>
    </w:p>
    <w:p>
      <w:pPr>
        <w:pStyle w:val="Compact"/>
        <w:numPr>
          <w:ilvl w:val="0"/>
          <w:numId w:val="1023"/>
        </w:numPr>
      </w:pPr>
      <w:r>
        <w:t xml:space="preserve">letzter aktiver Zeitpunkt;</w:t>
      </w:r>
    </w:p>
    <w:p>
      <w:pPr>
        <w:pStyle w:val="Compact"/>
        <w:numPr>
          <w:ilvl w:val="0"/>
          <w:numId w:val="1023"/>
        </w:numPr>
      </w:pPr>
      <w:r>
        <w:t xml:space="preserve">Kontostatus.</w:t>
      </w:r>
    </w:p>
    <w:bookmarkEnd w:id="48"/>
    <w:bookmarkStart w:id="49" w:name="restaurantbeziehungen"/>
    <w:p>
      <w:pPr>
        <w:pStyle w:val="Heading2"/>
      </w:pPr>
      <w:r>
        <w:t xml:space="preserve">8.2 Restaurantbeziehungen</w:t>
      </w:r>
    </w:p>
    <w:p>
      <w:pPr>
        <w:pStyle w:val="FirstParagraph"/>
      </w:pPr>
      <w:r>
        <w:t xml:space="preserve">Je Restaurant:</w:t>
      </w:r>
    </w:p>
    <w:p>
      <w:pPr>
        <w:pStyle w:val="Compact"/>
        <w:numPr>
          <w:ilvl w:val="0"/>
          <w:numId w:val="1024"/>
        </w:numPr>
      </w:pPr>
      <w:r>
        <w:t xml:space="preserve">Restaurantname;</w:t>
      </w:r>
    </w:p>
    <w:p>
      <w:pPr>
        <w:pStyle w:val="Compact"/>
        <w:numPr>
          <w:ilvl w:val="0"/>
          <w:numId w:val="1024"/>
        </w:numPr>
      </w:pPr>
      <w:r>
        <w:t xml:space="preserve">Rechtsträger;</w:t>
      </w:r>
    </w:p>
    <w:p>
      <w:pPr>
        <w:pStyle w:val="Compact"/>
        <w:numPr>
          <w:ilvl w:val="0"/>
          <w:numId w:val="1024"/>
        </w:numPr>
      </w:pPr>
      <w:r>
        <w:t xml:space="preserve">Restaurant-ID;</w:t>
      </w:r>
    </w:p>
    <w:p>
      <w:pPr>
        <w:pStyle w:val="Compact"/>
        <w:numPr>
          <w:ilvl w:val="0"/>
          <w:numId w:val="1024"/>
        </w:numPr>
      </w:pPr>
      <w:r>
        <w:t xml:space="preserve">Beitrittsdatum;</w:t>
      </w:r>
    </w:p>
    <w:p>
      <w:pPr>
        <w:pStyle w:val="Compact"/>
        <w:numPr>
          <w:ilvl w:val="0"/>
          <w:numId w:val="1024"/>
        </w:numPr>
      </w:pPr>
      <w:r>
        <w:t xml:space="preserve">Mitgliedschaftsstatus;</w:t>
      </w:r>
    </w:p>
    <w:p>
      <w:pPr>
        <w:pStyle w:val="Compact"/>
        <w:numPr>
          <w:ilvl w:val="0"/>
          <w:numId w:val="1024"/>
        </w:numPr>
      </w:pPr>
      <w:r>
        <w:t xml:space="preserve">aktueller Punktestand;</w:t>
      </w:r>
    </w:p>
    <w:p>
      <w:pPr>
        <w:pStyle w:val="Compact"/>
        <w:numPr>
          <w:ilvl w:val="0"/>
          <w:numId w:val="1024"/>
        </w:numPr>
      </w:pPr>
      <w:r>
        <w:t xml:space="preserve">Besuche;</w:t>
      </w:r>
    </w:p>
    <w:p>
      <w:pPr>
        <w:pStyle w:val="Compact"/>
        <w:numPr>
          <w:ilvl w:val="0"/>
          <w:numId w:val="1024"/>
        </w:numPr>
      </w:pPr>
      <w:r>
        <w:t xml:space="preserve">letzter Besuch.</w:t>
      </w:r>
    </w:p>
    <w:bookmarkEnd w:id="49"/>
    <w:bookmarkStart w:id="50" w:name="punkte"/>
    <w:p>
      <w:pPr>
        <w:pStyle w:val="Heading2"/>
      </w:pPr>
      <w:r>
        <w:t xml:space="preserve">8.3 Punkte</w:t>
      </w:r>
    </w:p>
    <w:p>
      <w:pPr>
        <w:pStyle w:val="Compact"/>
        <w:numPr>
          <w:ilvl w:val="0"/>
          <w:numId w:val="1025"/>
        </w:numPr>
      </w:pPr>
      <w:r>
        <w:t xml:space="preserve">Buchungsdatum;</w:t>
      </w:r>
    </w:p>
    <w:p>
      <w:pPr>
        <w:pStyle w:val="Compact"/>
        <w:numPr>
          <w:ilvl w:val="0"/>
          <w:numId w:val="1025"/>
        </w:numPr>
      </w:pPr>
      <w:r>
        <w:t xml:space="preserve">Filiale;</w:t>
      </w:r>
    </w:p>
    <w:p>
      <w:pPr>
        <w:pStyle w:val="Compact"/>
        <w:numPr>
          <w:ilvl w:val="0"/>
          <w:numId w:val="1025"/>
        </w:numPr>
      </w:pPr>
      <w:r>
        <w:t xml:space="preserve">Buchungsart;</w:t>
      </w:r>
    </w:p>
    <w:p>
      <w:pPr>
        <w:pStyle w:val="Compact"/>
        <w:numPr>
          <w:ilvl w:val="0"/>
          <w:numId w:val="1025"/>
        </w:numPr>
      </w:pPr>
      <w:r>
        <w:t xml:space="preserve">Punktebetrag;</w:t>
      </w:r>
    </w:p>
    <w:p>
      <w:pPr>
        <w:pStyle w:val="Compact"/>
        <w:numPr>
          <w:ilvl w:val="0"/>
          <w:numId w:val="1025"/>
        </w:numPr>
      </w:pPr>
      <w:r>
        <w:t xml:space="preserve">Referenz;</w:t>
      </w:r>
    </w:p>
    <w:p>
      <w:pPr>
        <w:pStyle w:val="Compact"/>
        <w:numPr>
          <w:ilvl w:val="0"/>
          <w:numId w:val="1025"/>
        </w:numPr>
      </w:pPr>
      <w:r>
        <w:t xml:space="preserve">Status;</w:t>
      </w:r>
    </w:p>
    <w:p>
      <w:pPr>
        <w:pStyle w:val="Compact"/>
        <w:numPr>
          <w:ilvl w:val="0"/>
          <w:numId w:val="1025"/>
        </w:numPr>
      </w:pPr>
      <w:r>
        <w:t xml:space="preserve">Korrekturen;</w:t>
      </w:r>
    </w:p>
    <w:p>
      <w:pPr>
        <w:pStyle w:val="Compact"/>
        <w:numPr>
          <w:ilvl w:val="0"/>
          <w:numId w:val="1025"/>
        </w:numPr>
      </w:pPr>
      <w:r>
        <w:t xml:space="preserve">Verfallsdatum, soweit vorhanden.</w:t>
      </w:r>
    </w:p>
    <w:bookmarkEnd w:id="50"/>
    <w:bookmarkStart w:id="51" w:name="rewards"/>
    <w:p>
      <w:pPr>
        <w:pStyle w:val="Heading2"/>
      </w:pPr>
      <w:r>
        <w:t xml:space="preserve">8.4 Rewards</w:t>
      </w:r>
    </w:p>
    <w:p>
      <w:pPr>
        <w:pStyle w:val="Compact"/>
        <w:numPr>
          <w:ilvl w:val="0"/>
          <w:numId w:val="1026"/>
        </w:numPr>
      </w:pPr>
      <w:r>
        <w:t xml:space="preserve">Rewardname;</w:t>
      </w:r>
    </w:p>
    <w:p>
      <w:pPr>
        <w:pStyle w:val="Compact"/>
        <w:numPr>
          <w:ilvl w:val="0"/>
          <w:numId w:val="1026"/>
        </w:numPr>
      </w:pPr>
      <w:r>
        <w:t xml:space="preserve">benötigte Punkte;</w:t>
      </w:r>
    </w:p>
    <w:p>
      <w:pPr>
        <w:pStyle w:val="Compact"/>
        <w:numPr>
          <w:ilvl w:val="0"/>
          <w:numId w:val="1026"/>
        </w:numPr>
      </w:pPr>
      <w:r>
        <w:t xml:space="preserve">Anspruchsdatum;</w:t>
      </w:r>
    </w:p>
    <w:p>
      <w:pPr>
        <w:pStyle w:val="Compact"/>
        <w:numPr>
          <w:ilvl w:val="0"/>
          <w:numId w:val="1026"/>
        </w:numPr>
      </w:pPr>
      <w:r>
        <w:t xml:space="preserve">Einlösestatus;</w:t>
      </w:r>
    </w:p>
    <w:p>
      <w:pPr>
        <w:pStyle w:val="Compact"/>
        <w:numPr>
          <w:ilvl w:val="0"/>
          <w:numId w:val="1026"/>
        </w:numPr>
      </w:pPr>
      <w:r>
        <w:t xml:space="preserve">Einlösedatum;</w:t>
      </w:r>
    </w:p>
    <w:p>
      <w:pPr>
        <w:pStyle w:val="Compact"/>
        <w:numPr>
          <w:ilvl w:val="0"/>
          <w:numId w:val="1026"/>
        </w:numPr>
      </w:pPr>
      <w:r>
        <w:t xml:space="preserve">Filiale;</w:t>
      </w:r>
    </w:p>
    <w:p>
      <w:pPr>
        <w:pStyle w:val="Compact"/>
        <w:numPr>
          <w:ilvl w:val="0"/>
          <w:numId w:val="1026"/>
        </w:numPr>
      </w:pPr>
      <w:r>
        <w:t xml:space="preserve">Gültigkeit;</w:t>
      </w:r>
    </w:p>
    <w:p>
      <w:pPr>
        <w:pStyle w:val="Compact"/>
        <w:numPr>
          <w:ilvl w:val="0"/>
          <w:numId w:val="1026"/>
        </w:numPr>
      </w:pPr>
      <w:r>
        <w:t xml:space="preserve">technische Referenz.</w:t>
      </w:r>
    </w:p>
    <w:p>
      <w:pPr>
        <w:pStyle w:val="FirstParagraph"/>
      </w:pPr>
      <w:r>
        <w:t xml:space="preserve">Einmalcodes oder sicherheitsrelevante Geheimnisse dürfen im Export nur enthalten sein, soweit dies rechtlich erforderlich und sicher vertretbar ist.</w:t>
      </w:r>
    </w:p>
    <w:bookmarkEnd w:id="51"/>
    <w:bookmarkStart w:id="52" w:name="legal-acceptances"/>
    <w:p>
      <w:pPr>
        <w:pStyle w:val="Heading2"/>
      </w:pPr>
      <w:r>
        <w:t xml:space="preserve">8.5 Legal-Acceptances</w:t>
      </w:r>
    </w:p>
    <w:p>
      <w:pPr>
        <w:pStyle w:val="FirstParagraph"/>
      </w:pPr>
      <w:r>
        <w:t xml:space="preserve">Exportiert werden nur Nachweismetadaten:</w:t>
      </w:r>
    </w:p>
    <w:p>
      <w:pPr>
        <w:pStyle w:val="Compact"/>
        <w:numPr>
          <w:ilvl w:val="0"/>
          <w:numId w:val="1027"/>
        </w:numPr>
      </w:pPr>
      <w:r>
        <w:t xml:space="preserve">Dokumenttyp;</w:t>
      </w:r>
    </w:p>
    <w:p>
      <w:pPr>
        <w:pStyle w:val="Compact"/>
        <w:numPr>
          <w:ilvl w:val="0"/>
          <w:numId w:val="1027"/>
        </w:numPr>
      </w:pPr>
      <w:r>
        <w:t xml:space="preserve">Herausgeber;</w:t>
      </w:r>
    </w:p>
    <w:p>
      <w:pPr>
        <w:pStyle w:val="Compact"/>
        <w:numPr>
          <w:ilvl w:val="0"/>
          <w:numId w:val="1027"/>
        </w:numPr>
      </w:pPr>
      <w:r>
        <w:t xml:space="preserve">Dokumentversion;</w:t>
      </w:r>
    </w:p>
    <w:p>
      <w:pPr>
        <w:pStyle w:val="Compact"/>
        <w:numPr>
          <w:ilvl w:val="0"/>
          <w:numId w:val="1027"/>
        </w:numPr>
      </w:pPr>
      <w:r>
        <w:t xml:space="preserve">Dokumenthash;</w:t>
      </w:r>
    </w:p>
    <w:p>
      <w:pPr>
        <w:pStyle w:val="Compact"/>
        <w:numPr>
          <w:ilvl w:val="0"/>
          <w:numId w:val="1027"/>
        </w:numPr>
      </w:pPr>
      <w:r>
        <w:t xml:space="preserve">Sprache;</w:t>
      </w:r>
    </w:p>
    <w:p>
      <w:pPr>
        <w:pStyle w:val="Compact"/>
        <w:numPr>
          <w:ilvl w:val="0"/>
          <w:numId w:val="1027"/>
        </w:numPr>
      </w:pPr>
      <w:r>
        <w:t xml:space="preserve">Annahmezeitpunkt;</w:t>
      </w:r>
    </w:p>
    <w:p>
      <w:pPr>
        <w:pStyle w:val="Compact"/>
        <w:numPr>
          <w:ilvl w:val="0"/>
          <w:numId w:val="1027"/>
        </w:numPr>
      </w:pPr>
      <w:r>
        <w:t xml:space="preserve">Quelle;</w:t>
      </w:r>
    </w:p>
    <w:p>
      <w:pPr>
        <w:pStyle w:val="Compact"/>
        <w:numPr>
          <w:ilvl w:val="0"/>
          <w:numId w:val="1027"/>
        </w:numPr>
      </w:pPr>
      <w:r>
        <w:t xml:space="preserve">Inkrafttretensdatum.</w:t>
      </w:r>
    </w:p>
    <w:p>
      <w:pPr>
        <w:pStyle w:val="FirstParagraph"/>
      </w:pPr>
      <w:r>
        <w:t xml:space="preserve">Nicht automatisch exportiert werden:</w:t>
      </w:r>
    </w:p>
    <w:p>
      <w:pPr>
        <w:pStyle w:val="Compact"/>
        <w:numPr>
          <w:ilvl w:val="0"/>
          <w:numId w:val="1028"/>
        </w:numPr>
      </w:pPr>
      <w:r>
        <w:t xml:space="preserve">vollständige historische Dokumenttexte;</w:t>
      </w:r>
    </w:p>
    <w:p>
      <w:pPr>
        <w:pStyle w:val="Compact"/>
        <w:numPr>
          <w:ilvl w:val="0"/>
          <w:numId w:val="1028"/>
        </w:numPr>
      </w:pPr>
      <w:r>
        <w:t xml:space="preserve">internes Rendering;</w:t>
      </w:r>
    </w:p>
    <w:p>
      <w:pPr>
        <w:pStyle w:val="Compact"/>
        <w:numPr>
          <w:ilvl w:val="0"/>
          <w:numId w:val="1028"/>
        </w:numPr>
      </w:pPr>
      <w:r>
        <w:t xml:space="preserve">interne Entwürfe;</w:t>
      </w:r>
    </w:p>
    <w:p>
      <w:pPr>
        <w:pStyle w:val="Compact"/>
        <w:numPr>
          <w:ilvl w:val="0"/>
          <w:numId w:val="1028"/>
        </w:numPr>
      </w:pPr>
      <w:r>
        <w:t xml:space="preserve">interne juristische Kommentare.</w:t>
      </w:r>
    </w:p>
    <w:p>
      <w:pPr>
        <w:pStyle w:val="FirstParagraph"/>
      </w:pPr>
      <w:r>
        <w:t xml:space="preserve">Aktuelle veröffentlichte Dokumente können über separate Links bereitgestellt werden.</w:t>
      </w:r>
    </w:p>
    <w:bookmarkEnd w:id="52"/>
    <w:bookmarkStart w:id="53" w:name="consents"/>
    <w:p>
      <w:pPr>
        <w:pStyle w:val="Heading2"/>
      </w:pPr>
      <w:r>
        <w:t xml:space="preserve">8.6 Consents</w:t>
      </w:r>
    </w:p>
    <w:p>
      <w:pPr>
        <w:pStyle w:val="Compact"/>
        <w:numPr>
          <w:ilvl w:val="0"/>
          <w:numId w:val="1029"/>
        </w:numPr>
      </w:pPr>
      <w:r>
        <w:t xml:space="preserve">Restaurant;</w:t>
      </w:r>
    </w:p>
    <w:p>
      <w:pPr>
        <w:pStyle w:val="Compact"/>
        <w:numPr>
          <w:ilvl w:val="0"/>
          <w:numId w:val="1029"/>
        </w:numPr>
      </w:pPr>
      <w:r>
        <w:t xml:space="preserve">Kanal;</w:t>
      </w:r>
    </w:p>
    <w:p>
      <w:pPr>
        <w:pStyle w:val="Compact"/>
        <w:numPr>
          <w:ilvl w:val="0"/>
          <w:numId w:val="1029"/>
        </w:numPr>
      </w:pPr>
      <w:r>
        <w:t xml:space="preserve">Zweck;</w:t>
      </w:r>
    </w:p>
    <w:p>
      <w:pPr>
        <w:pStyle w:val="Compact"/>
        <w:numPr>
          <w:ilvl w:val="0"/>
          <w:numId w:val="1029"/>
        </w:numPr>
      </w:pPr>
      <w:r>
        <w:t xml:space="preserve">Status;</w:t>
      </w:r>
    </w:p>
    <w:p>
      <w:pPr>
        <w:pStyle w:val="Compact"/>
        <w:numPr>
          <w:ilvl w:val="0"/>
          <w:numId w:val="1029"/>
        </w:numPr>
      </w:pPr>
      <w:r>
        <w:t xml:space="preserve">Textversion;</w:t>
      </w:r>
    </w:p>
    <w:p>
      <w:pPr>
        <w:pStyle w:val="Compact"/>
        <w:numPr>
          <w:ilvl w:val="0"/>
          <w:numId w:val="1029"/>
        </w:numPr>
      </w:pPr>
      <w:r>
        <w:t xml:space="preserve">Texthash;</w:t>
      </w:r>
    </w:p>
    <w:p>
      <w:pPr>
        <w:pStyle w:val="Compact"/>
        <w:numPr>
          <w:ilvl w:val="0"/>
          <w:numId w:val="1029"/>
        </w:numPr>
      </w:pPr>
      <w:r>
        <w:t xml:space="preserve">Erteilung;</w:t>
      </w:r>
    </w:p>
    <w:p>
      <w:pPr>
        <w:pStyle w:val="Compact"/>
        <w:numPr>
          <w:ilvl w:val="0"/>
          <w:numId w:val="1029"/>
        </w:numPr>
      </w:pPr>
      <w:r>
        <w:t xml:space="preserve">Bestätigung;</w:t>
      </w:r>
    </w:p>
    <w:p>
      <w:pPr>
        <w:pStyle w:val="Compact"/>
        <w:numPr>
          <w:ilvl w:val="0"/>
          <w:numId w:val="1029"/>
        </w:numPr>
      </w:pPr>
      <w:r>
        <w:t xml:space="preserve">Widerruf;</w:t>
      </w:r>
    </w:p>
    <w:p>
      <w:pPr>
        <w:pStyle w:val="Compact"/>
        <w:numPr>
          <w:ilvl w:val="0"/>
          <w:numId w:val="1029"/>
        </w:numPr>
      </w:pPr>
      <w:r>
        <w:t xml:space="preserve">Widerrufsquelle.</w:t>
      </w:r>
    </w:p>
    <w:bookmarkEnd w:id="53"/>
    <w:bookmarkStart w:id="54" w:name="marketingereignisse"/>
    <w:p>
      <w:pPr>
        <w:pStyle w:val="Heading2"/>
      </w:pPr>
      <w:r>
        <w:t xml:space="preserve">8.7 Marketingereignisse</w:t>
      </w:r>
    </w:p>
    <w:p>
      <w:pPr>
        <w:pStyle w:val="Compact"/>
        <w:numPr>
          <w:ilvl w:val="0"/>
          <w:numId w:val="1030"/>
        </w:numPr>
      </w:pPr>
      <w:r>
        <w:t xml:space="preserve">Versandzeit;</w:t>
      </w:r>
    </w:p>
    <w:p>
      <w:pPr>
        <w:pStyle w:val="Compact"/>
        <w:numPr>
          <w:ilvl w:val="0"/>
          <w:numId w:val="1030"/>
        </w:numPr>
      </w:pPr>
      <w:r>
        <w:t xml:space="preserve">Kanal;</w:t>
      </w:r>
    </w:p>
    <w:p>
      <w:pPr>
        <w:pStyle w:val="Compact"/>
        <w:numPr>
          <w:ilvl w:val="0"/>
          <w:numId w:val="1030"/>
        </w:numPr>
      </w:pPr>
      <w:r>
        <w:t xml:space="preserve">Kampagnenbezeichnung;</w:t>
      </w:r>
    </w:p>
    <w:p>
      <w:pPr>
        <w:pStyle w:val="Compact"/>
        <w:numPr>
          <w:ilvl w:val="0"/>
          <w:numId w:val="1030"/>
        </w:numPr>
      </w:pPr>
      <w:r>
        <w:t xml:space="preserve">Zustellstatus;</w:t>
      </w:r>
    </w:p>
    <w:p>
      <w:pPr>
        <w:pStyle w:val="Compact"/>
        <w:numPr>
          <w:ilvl w:val="0"/>
          <w:numId w:val="1030"/>
        </w:numPr>
      </w:pPr>
      <w:r>
        <w:t xml:space="preserve">Bounce;</w:t>
      </w:r>
    </w:p>
    <w:p>
      <w:pPr>
        <w:pStyle w:val="Compact"/>
        <w:numPr>
          <w:ilvl w:val="0"/>
          <w:numId w:val="1030"/>
        </w:numPr>
      </w:pPr>
      <w:r>
        <w:t xml:space="preserve">Abmeldung;</w:t>
      </w:r>
    </w:p>
    <w:p>
      <w:pPr>
        <w:pStyle w:val="Compact"/>
        <w:numPr>
          <w:ilvl w:val="0"/>
          <w:numId w:val="1030"/>
        </w:numPr>
      </w:pPr>
      <w:r>
        <w:t xml:space="preserve">Blockierungsereignisse, soweit personenbezogen und herauszugeben.</w:t>
      </w:r>
    </w:p>
    <w:bookmarkEnd w:id="54"/>
    <w:bookmarkStart w:id="55" w:name="datenschutzanfragen"/>
    <w:p>
      <w:pPr>
        <w:pStyle w:val="Heading2"/>
      </w:pPr>
      <w:r>
        <w:t xml:space="preserve">8.8 Datenschutzanfragen</w:t>
      </w:r>
    </w:p>
    <w:p>
      <w:pPr>
        <w:pStyle w:val="Compact"/>
        <w:numPr>
          <w:ilvl w:val="0"/>
          <w:numId w:val="1031"/>
        </w:numPr>
      </w:pPr>
      <w:r>
        <w:t xml:space="preserve">Art des Antrags;</w:t>
      </w:r>
    </w:p>
    <w:p>
      <w:pPr>
        <w:pStyle w:val="Compact"/>
        <w:numPr>
          <w:ilvl w:val="0"/>
          <w:numId w:val="1031"/>
        </w:numPr>
      </w:pPr>
      <w:r>
        <w:t xml:space="preserve">Eingangsdatum;</w:t>
      </w:r>
    </w:p>
    <w:p>
      <w:pPr>
        <w:pStyle w:val="Compact"/>
        <w:numPr>
          <w:ilvl w:val="0"/>
          <w:numId w:val="1031"/>
        </w:numPr>
      </w:pPr>
      <w:r>
        <w:t xml:space="preserve">Status;</w:t>
      </w:r>
    </w:p>
    <w:p>
      <w:pPr>
        <w:pStyle w:val="Compact"/>
        <w:numPr>
          <w:ilvl w:val="0"/>
          <w:numId w:val="1031"/>
        </w:numPr>
      </w:pPr>
      <w:r>
        <w:t xml:space="preserve">Abschlussdatum;</w:t>
      </w:r>
    </w:p>
    <w:p>
      <w:pPr>
        <w:pStyle w:val="Compact"/>
        <w:numPr>
          <w:ilvl w:val="0"/>
          <w:numId w:val="1031"/>
        </w:numPr>
      </w:pPr>
      <w:r>
        <w:t xml:space="preserve">Ergebnis;</w:t>
      </w:r>
    </w:p>
    <w:p>
      <w:pPr>
        <w:pStyle w:val="Compact"/>
        <w:numPr>
          <w:ilvl w:val="0"/>
          <w:numId w:val="1031"/>
        </w:numPr>
      </w:pPr>
      <w:r>
        <w:t xml:space="preserve">Kommunikation.</w:t>
      </w:r>
    </w:p>
    <w:bookmarkEnd w:id="55"/>
    <w:bookmarkStart w:id="56" w:name="sicherheits--und-auditdaten"/>
    <w:p>
      <w:pPr>
        <w:pStyle w:val="Heading2"/>
      </w:pPr>
      <w:r>
        <w:t xml:space="preserve">8.9 Sicherheits- und Auditdaten</w:t>
      </w:r>
    </w:p>
    <w:p>
      <w:pPr>
        <w:pStyle w:val="FirstParagraph"/>
      </w:pPr>
      <w:r>
        <w:t xml:space="preserve">Nur soweit rechtlich herauszugeben und ohne:</w:t>
      </w:r>
    </w:p>
    <w:p>
      <w:pPr>
        <w:pStyle w:val="Compact"/>
        <w:numPr>
          <w:ilvl w:val="0"/>
          <w:numId w:val="1032"/>
        </w:numPr>
      </w:pPr>
      <w:r>
        <w:t xml:space="preserve">Rechte Dritter zu verletzen;</w:t>
      </w:r>
    </w:p>
    <w:p>
      <w:pPr>
        <w:pStyle w:val="Compact"/>
        <w:numPr>
          <w:ilvl w:val="0"/>
          <w:numId w:val="1032"/>
        </w:numPr>
      </w:pPr>
      <w:r>
        <w:t xml:space="preserve">Sicherheitsmaßnahmen offenzulegen;</w:t>
      </w:r>
    </w:p>
    <w:p>
      <w:pPr>
        <w:pStyle w:val="Compact"/>
        <w:numPr>
          <w:ilvl w:val="0"/>
          <w:numId w:val="1032"/>
        </w:numPr>
      </w:pPr>
      <w:r>
        <w:t xml:space="preserve">Missbrauchserkennung zu gefährden;</w:t>
      </w:r>
    </w:p>
    <w:p>
      <w:pPr>
        <w:pStyle w:val="Compact"/>
        <w:numPr>
          <w:ilvl w:val="0"/>
          <w:numId w:val="1032"/>
        </w:numPr>
      </w:pPr>
      <w:r>
        <w:t xml:space="preserve">interne Geheimnisse unangemessen preiszugeben.</w:t>
      </w:r>
    </w:p>
    <w:p>
      <w:r>
        <w:pict>
          <v:rect style="width:0;height:1.5pt" o:hralign="center" o:hrstd="t" o:hr="t"/>
        </w:pict>
      </w:r>
    </w:p>
    <w:bookmarkEnd w:id="56"/>
    <w:bookmarkEnd w:id="57"/>
    <w:bookmarkStart w:id="58" w:name="nicht-in-den-standardexport-aufnehmen"/>
    <w:p>
      <w:pPr>
        <w:pStyle w:val="Heading1"/>
      </w:pPr>
      <w:r>
        <w:t xml:space="preserve">9. Nicht in den Standardexport aufnehmen</w:t>
      </w:r>
    </w:p>
    <w:p>
      <w:pPr>
        <w:pStyle w:val="FirstParagraph"/>
      </w:pPr>
      <w:r>
        <w:t xml:space="preserve">Der Standardexport darf nicht enthalten:</w:t>
      </w:r>
    </w:p>
    <w:p>
      <w:pPr>
        <w:pStyle w:val="Compact"/>
        <w:numPr>
          <w:ilvl w:val="0"/>
          <w:numId w:val="1033"/>
        </w:numPr>
      </w:pPr>
      <w:r>
        <w:t xml:space="preserve">Daten anderer Kunden;</w:t>
      </w:r>
    </w:p>
    <w:p>
      <w:pPr>
        <w:pStyle w:val="Compact"/>
        <w:numPr>
          <w:ilvl w:val="0"/>
          <w:numId w:val="1033"/>
        </w:numPr>
      </w:pPr>
      <w:r>
        <w:t xml:space="preserve">Daten anderer Restaurants außerhalb des Antragsumfangs;</w:t>
      </w:r>
    </w:p>
    <w:p>
      <w:pPr>
        <w:pStyle w:val="Compact"/>
        <w:numPr>
          <w:ilvl w:val="0"/>
          <w:numId w:val="1033"/>
        </w:numPr>
      </w:pPr>
      <w:r>
        <w:t xml:space="preserve">interne Service-Role-Informationen;</w:t>
      </w:r>
    </w:p>
    <w:p>
      <w:pPr>
        <w:pStyle w:val="Compact"/>
        <w:numPr>
          <w:ilvl w:val="0"/>
          <w:numId w:val="1033"/>
        </w:numPr>
      </w:pPr>
      <w:r>
        <w:t xml:space="preserve">Datenbankpasswörter;</w:t>
      </w:r>
    </w:p>
    <w:p>
      <w:pPr>
        <w:pStyle w:val="Compact"/>
        <w:numPr>
          <w:ilvl w:val="0"/>
          <w:numId w:val="1033"/>
        </w:numPr>
      </w:pPr>
      <w:r>
        <w:t xml:space="preserve">API-Schlüssel;</w:t>
      </w:r>
    </w:p>
    <w:p>
      <w:pPr>
        <w:pStyle w:val="Compact"/>
        <w:numPr>
          <w:ilvl w:val="0"/>
          <w:numId w:val="1033"/>
        </w:numPr>
      </w:pPr>
      <w:r>
        <w:t xml:space="preserve">vollständige Auth-Tokens;</w:t>
      </w:r>
    </w:p>
    <w:p>
      <w:pPr>
        <w:pStyle w:val="Compact"/>
        <w:numPr>
          <w:ilvl w:val="0"/>
          <w:numId w:val="1033"/>
        </w:numPr>
      </w:pPr>
      <w:r>
        <w:t xml:space="preserve">Tages-PINs;</w:t>
      </w:r>
    </w:p>
    <w:p>
      <w:pPr>
        <w:pStyle w:val="Compact"/>
        <w:numPr>
          <w:ilvl w:val="0"/>
          <w:numId w:val="1033"/>
        </w:numPr>
      </w:pPr>
      <w:r>
        <w:t xml:space="preserve">aktive Reward-Geheimcodes;</w:t>
      </w:r>
    </w:p>
    <w:p>
      <w:pPr>
        <w:pStyle w:val="Compact"/>
        <w:numPr>
          <w:ilvl w:val="0"/>
          <w:numId w:val="1033"/>
        </w:numPr>
      </w:pPr>
      <w:r>
        <w:t xml:space="preserve">interne Sicherheitsregeln;</w:t>
      </w:r>
    </w:p>
    <w:p>
      <w:pPr>
        <w:pStyle w:val="Compact"/>
        <w:numPr>
          <w:ilvl w:val="0"/>
          <w:numId w:val="1033"/>
        </w:numPr>
      </w:pPr>
      <w:r>
        <w:t xml:space="preserve">interne Betrugserkennungsschwellen;</w:t>
      </w:r>
    </w:p>
    <w:p>
      <w:pPr>
        <w:pStyle w:val="Compact"/>
        <w:numPr>
          <w:ilvl w:val="0"/>
          <w:numId w:val="1033"/>
        </w:numPr>
      </w:pPr>
      <w:r>
        <w:t xml:space="preserve">vertrauliche Supportdaten Dritter;</w:t>
      </w:r>
    </w:p>
    <w:p>
      <w:pPr>
        <w:pStyle w:val="Compact"/>
        <w:numPr>
          <w:ilvl w:val="0"/>
          <w:numId w:val="1033"/>
        </w:numPr>
      </w:pPr>
      <w:r>
        <w:t xml:space="preserve">vollständige Rechtstextentwürfe;</w:t>
      </w:r>
    </w:p>
    <w:p>
      <w:pPr>
        <w:pStyle w:val="Compact"/>
        <w:numPr>
          <w:ilvl w:val="0"/>
          <w:numId w:val="1033"/>
        </w:numPr>
      </w:pPr>
      <w:r>
        <w:t xml:space="preserve">interne Anwaltshinweise;</w:t>
      </w:r>
    </w:p>
    <w:p>
      <w:pPr>
        <w:pStyle w:val="Compact"/>
        <w:numPr>
          <w:ilvl w:val="0"/>
          <w:numId w:val="1033"/>
        </w:numPr>
      </w:pPr>
      <w:r>
        <w:t xml:space="preserve">interne Steuerberaterkommentare.</w:t>
      </w:r>
    </w:p>
    <w:p>
      <w:r>
        <w:pict>
          <v:rect style="width:0;height:1.5pt" o:hralign="center" o:hrstd="t" o:hr="t"/>
        </w:pict>
      </w:r>
    </w:p>
    <w:bookmarkEnd w:id="58"/>
    <w:bookmarkStart w:id="63" w:name="exportbereitstellung"/>
    <w:p>
      <w:pPr>
        <w:pStyle w:val="Heading1"/>
      </w:pPr>
      <w:r>
        <w:t xml:space="preserve">10. Exportbereitstellung</w:t>
      </w:r>
    </w:p>
    <w:bookmarkStart w:id="59" w:name="erstellung"/>
    <w:p>
      <w:pPr>
        <w:pStyle w:val="Heading2"/>
      </w:pPr>
      <w:r>
        <w:t xml:space="preserve">10.1 Erstellung</w:t>
      </w:r>
    </w:p>
    <w:p>
      <w:pPr>
        <w:pStyle w:val="FirstParagraph"/>
      </w:pPr>
      <w:r>
        <w:t xml:space="preserve">Der Export wird serverseitig erstellt.</w:t>
      </w:r>
    </w:p>
    <w:p>
      <w:pPr>
        <w:pStyle w:val="BodyText"/>
      </w:pPr>
      <w:r>
        <w:t xml:space="preserve">Keine vollständige Exporterstellung im Browser.</w:t>
      </w:r>
    </w:p>
    <w:bookmarkEnd w:id="59"/>
    <w:bookmarkStart w:id="60" w:name="verschlüsselung-und-zugriff"/>
    <w:p>
      <w:pPr>
        <w:pStyle w:val="Heading2"/>
      </w:pPr>
      <w:r>
        <w:t xml:space="preserve">10.2 Verschlüsselung und Zugriff</w:t>
      </w:r>
    </w:p>
    <w:p>
      <w:pPr>
        <w:pStyle w:val="FirstParagraph"/>
      </w:pPr>
      <w:r>
        <w:t xml:space="preserve">Der Downloadlink muss:</w:t>
      </w:r>
    </w:p>
    <w:p>
      <w:pPr>
        <w:pStyle w:val="Compact"/>
        <w:numPr>
          <w:ilvl w:val="0"/>
          <w:numId w:val="1034"/>
        </w:numPr>
      </w:pPr>
      <w:r>
        <w:t xml:space="preserve">zufällig und nicht erratbar sein;</w:t>
      </w:r>
    </w:p>
    <w:p>
      <w:pPr>
        <w:pStyle w:val="Compact"/>
        <w:numPr>
          <w:ilvl w:val="0"/>
          <w:numId w:val="1034"/>
        </w:numPr>
      </w:pPr>
      <w:r>
        <w:t xml:space="preserve">zeitlich begrenzt sein;</w:t>
      </w:r>
    </w:p>
    <w:p>
      <w:pPr>
        <w:pStyle w:val="Compact"/>
        <w:numPr>
          <w:ilvl w:val="0"/>
          <w:numId w:val="1034"/>
        </w:numPr>
      </w:pPr>
      <w:r>
        <w:t xml:space="preserve">nur für den geprüften Gast gelten;</w:t>
      </w:r>
    </w:p>
    <w:p>
      <w:pPr>
        <w:pStyle w:val="Compact"/>
        <w:numPr>
          <w:ilvl w:val="0"/>
          <w:numId w:val="1034"/>
        </w:numPr>
      </w:pPr>
      <w:r>
        <w:t xml:space="preserve">nach Verwendung widerrufbar sein;</w:t>
      </w:r>
    </w:p>
    <w:p>
      <w:pPr>
        <w:pStyle w:val="Compact"/>
        <w:numPr>
          <w:ilvl w:val="0"/>
          <w:numId w:val="1034"/>
        </w:numPr>
      </w:pPr>
      <w:r>
        <w:t xml:space="preserve">nicht in Suchmaschinen indexiert werden;</w:t>
      </w:r>
    </w:p>
    <w:p>
      <w:pPr>
        <w:pStyle w:val="Compact"/>
        <w:numPr>
          <w:ilvl w:val="0"/>
          <w:numId w:val="1034"/>
        </w:numPr>
      </w:pPr>
      <w:r>
        <w:t xml:space="preserve">keine personenbezogenen Daten in der URL enthalten.</w:t>
      </w:r>
    </w:p>
    <w:p>
      <w:pPr>
        <w:pStyle w:val="FirstParagraph"/>
      </w:pPr>
      <w:r>
        <w:t xml:space="preserve">Empfohlene Linkgültigkeit:</w:t>
      </w:r>
    </w:p>
    <w:p>
      <w:pPr>
        <w:pStyle w:val="SourceCode"/>
      </w:pPr>
      <w:r>
        <w:rPr>
          <w:rStyle w:val="VerbatimChar"/>
        </w:rPr>
        <w:t xml:space="preserve">72 Stunden</w:t>
      </w:r>
    </w:p>
    <w:p>
      <w:pPr>
        <w:pStyle w:val="FirstParagraph"/>
      </w:pPr>
      <w:r>
        <w:t xml:space="preserve">Anwaltlich und sicherheitstechnisch zu bestätigen.</w:t>
      </w:r>
    </w:p>
    <w:bookmarkEnd w:id="60"/>
    <w:bookmarkStart w:id="61" w:name="benachrichtigung"/>
    <w:p>
      <w:pPr>
        <w:pStyle w:val="Heading2"/>
      </w:pPr>
      <w:r>
        <w:t xml:space="preserve">10.3 Benachrichtigung</w:t>
      </w:r>
    </w:p>
    <w:p>
      <w:pPr>
        <w:pStyle w:val="BlockText"/>
      </w:pPr>
      <w:r>
        <w:t xml:space="preserve">Ihr Datenexport ist verfügbar.</w:t>
      </w:r>
    </w:p>
    <w:p>
      <w:pPr>
        <w:pStyle w:val="BlockText"/>
      </w:pPr>
      <w:r>
        <w:t xml:space="preserve">Der Downloadlink ist aus Sicherheitsgründen nur bis [DATUM/UHRZEIT] gültig. Falls Sie den Antrag nicht gestellt haben, kontaktieren Sie bitte [KONTAKT].</w:t>
      </w:r>
    </w:p>
    <w:bookmarkEnd w:id="61"/>
    <w:bookmarkStart w:id="62" w:name="ablauf"/>
    <w:p>
      <w:pPr>
        <w:pStyle w:val="Heading2"/>
      </w:pPr>
      <w:r>
        <w:t xml:space="preserve">10.4 Ablauf</w:t>
      </w:r>
    </w:p>
    <w:p>
      <w:pPr>
        <w:pStyle w:val="FirstParagraph"/>
      </w:pPr>
      <w:r>
        <w:t xml:space="preserve">Nach Ablauf:</w:t>
      </w:r>
    </w:p>
    <w:p>
      <w:pPr>
        <w:pStyle w:val="Compact"/>
        <w:numPr>
          <w:ilvl w:val="0"/>
          <w:numId w:val="1035"/>
        </w:numPr>
      </w:pPr>
      <w:r>
        <w:t xml:space="preserve">Link deaktivieren;</w:t>
      </w:r>
    </w:p>
    <w:p>
      <w:pPr>
        <w:pStyle w:val="Compact"/>
        <w:numPr>
          <w:ilvl w:val="0"/>
          <w:numId w:val="1035"/>
        </w:numPr>
      </w:pPr>
      <w:r>
        <w:t xml:space="preserve">Exportdatei automatisiert löschen;</w:t>
      </w:r>
    </w:p>
    <w:p>
      <w:pPr>
        <w:pStyle w:val="Compact"/>
        <w:numPr>
          <w:ilvl w:val="0"/>
          <w:numId w:val="1035"/>
        </w:numPr>
      </w:pPr>
      <w:r>
        <w:t xml:space="preserve">Exportnachweis behalten;</w:t>
      </w:r>
    </w:p>
    <w:p>
      <w:pPr>
        <w:pStyle w:val="Compact"/>
        <w:numPr>
          <w:ilvl w:val="0"/>
          <w:numId w:val="1035"/>
        </w:numPr>
      </w:pPr>
      <w:r>
        <w:t xml:space="preserve">neue Erstellung nur nach erneutem sicheren Abruf.</w:t>
      </w:r>
    </w:p>
    <w:p>
      <w:r>
        <w:pict>
          <v:rect style="width:0;height:1.5pt" o:hralign="center" o:hrstd="t" o:hr="t"/>
        </w:pict>
      </w:r>
    </w:p>
    <w:bookmarkEnd w:id="62"/>
    <w:bookmarkEnd w:id="63"/>
    <w:bookmarkStart w:id="69" w:name="löschprüfung"/>
    <w:p>
      <w:pPr>
        <w:pStyle w:val="Heading1"/>
      </w:pPr>
      <w:r>
        <w:t xml:space="preserve">11. Löschprüfung</w:t>
      </w:r>
    </w:p>
    <w:p>
      <w:pPr>
        <w:pStyle w:val="FirstParagraph"/>
      </w:pPr>
      <w:r>
        <w:t xml:space="preserve">Vor Ausführung wird jede Datenkategorie klassifiziert:</w:t>
      </w:r>
    </w:p>
    <w:p>
      <w:pPr>
        <w:pStyle w:val="SourceCode"/>
      </w:pPr>
      <w:r>
        <w:rPr>
          <w:rStyle w:val="VerbatimChar"/>
        </w:rPr>
        <w:t xml:space="preserve">DELETE_NOW</w:t>
      </w:r>
      <w:r>
        <w:br/>
      </w:r>
      <w:r>
        <w:rPr>
          <w:rStyle w:val="VerbatimChar"/>
        </w:rPr>
        <w:t xml:space="preserve">ANONYMIZE_NOW</w:t>
      </w:r>
      <w:r>
        <w:br/>
      </w:r>
      <w:r>
        <w:rPr>
          <w:rStyle w:val="VerbatimChar"/>
        </w:rPr>
        <w:t xml:space="preserve">RESTRICT_AND_RETAIN</w:t>
      </w:r>
      <w:r>
        <w:br/>
      </w:r>
      <w:r>
        <w:rPr>
          <w:rStyle w:val="VerbatimChar"/>
        </w:rPr>
        <w:t xml:space="preserve">RETAIN_LEGAL</w:t>
      </w:r>
      <w:r>
        <w:br/>
      </w:r>
      <w:r>
        <w:rPr>
          <w:rStyle w:val="VerbatimChar"/>
        </w:rPr>
        <w:t xml:space="preserve">RETAIN_SECURITY</w:t>
      </w:r>
      <w:r>
        <w:br/>
      </w:r>
      <w:r>
        <w:rPr>
          <w:rStyle w:val="VerbatimChar"/>
        </w:rPr>
        <w:t xml:space="preserve">RETAIN_DISPUTE</w:t>
      </w:r>
    </w:p>
    <w:bookmarkStart w:id="64" w:name="sofort-löschbare-daten"/>
    <w:p>
      <w:pPr>
        <w:pStyle w:val="Heading2"/>
      </w:pPr>
      <w:r>
        <w:t xml:space="preserve">11.1 Sofort löschbare Daten</w:t>
      </w:r>
    </w:p>
    <w:p>
      <w:pPr>
        <w:pStyle w:val="FirstParagraph"/>
      </w:pPr>
      <w:r>
        <w:t xml:space="preserve">Beispiele:</w:t>
      </w:r>
    </w:p>
    <w:p>
      <w:pPr>
        <w:pStyle w:val="Compact"/>
        <w:numPr>
          <w:ilvl w:val="0"/>
          <w:numId w:val="1036"/>
        </w:numPr>
      </w:pPr>
      <w:r>
        <w:t xml:space="preserve">optionale Profilangaben;</w:t>
      </w:r>
    </w:p>
    <w:p>
      <w:pPr>
        <w:pStyle w:val="Compact"/>
        <w:numPr>
          <w:ilvl w:val="0"/>
          <w:numId w:val="1036"/>
        </w:numPr>
      </w:pPr>
      <w:r>
        <w:t xml:space="preserve">nicht benötigte Präferenzen;</w:t>
      </w:r>
    </w:p>
    <w:p>
      <w:pPr>
        <w:pStyle w:val="Compact"/>
        <w:numPr>
          <w:ilvl w:val="0"/>
          <w:numId w:val="1036"/>
        </w:numPr>
      </w:pPr>
      <w:r>
        <w:t xml:space="preserve">nicht bestätigte Kontaktänderungen;</w:t>
      </w:r>
    </w:p>
    <w:p>
      <w:pPr>
        <w:pStyle w:val="Compact"/>
        <w:numPr>
          <w:ilvl w:val="0"/>
          <w:numId w:val="1036"/>
        </w:numPr>
      </w:pPr>
      <w:r>
        <w:t xml:space="preserve">abgelaufene temporäre Tokens;</w:t>
      </w:r>
    </w:p>
    <w:p>
      <w:pPr>
        <w:pStyle w:val="Compact"/>
        <w:numPr>
          <w:ilvl w:val="0"/>
          <w:numId w:val="1036"/>
        </w:numPr>
      </w:pPr>
      <w:r>
        <w:t xml:space="preserve">technische Entwürfe;</w:t>
      </w:r>
    </w:p>
    <w:p>
      <w:pPr>
        <w:pStyle w:val="Compact"/>
        <w:numPr>
          <w:ilvl w:val="0"/>
          <w:numId w:val="1036"/>
        </w:numPr>
      </w:pPr>
      <w:r>
        <w:t xml:space="preserve">inaktive Push-Subscriptions;</w:t>
      </w:r>
    </w:p>
    <w:p>
      <w:pPr>
        <w:pStyle w:val="Compact"/>
        <w:numPr>
          <w:ilvl w:val="0"/>
          <w:numId w:val="1036"/>
        </w:numPr>
      </w:pPr>
      <w:r>
        <w:t xml:space="preserve">nicht mehr erforderliche Standortdaten.</w:t>
      </w:r>
    </w:p>
    <w:bookmarkEnd w:id="64"/>
    <w:bookmarkStart w:id="65" w:name="zu-anonymisierende-daten"/>
    <w:p>
      <w:pPr>
        <w:pStyle w:val="Heading2"/>
      </w:pPr>
      <w:r>
        <w:t xml:space="preserve">11.2 Zu anonymisierende Daten</w:t>
      </w:r>
    </w:p>
    <w:p>
      <w:pPr>
        <w:pStyle w:val="FirstParagraph"/>
      </w:pPr>
      <w:r>
        <w:t xml:space="preserve">Transaktionsdaten können anonymisiert werden, wenn:</w:t>
      </w:r>
    </w:p>
    <w:p>
      <w:pPr>
        <w:pStyle w:val="Compact"/>
        <w:numPr>
          <w:ilvl w:val="0"/>
          <w:numId w:val="1037"/>
        </w:numPr>
      </w:pPr>
      <w:r>
        <w:t xml:space="preserve">statistische Auswertungen erhalten bleiben sollen;</w:t>
      </w:r>
    </w:p>
    <w:p>
      <w:pPr>
        <w:pStyle w:val="Compact"/>
        <w:numPr>
          <w:ilvl w:val="0"/>
          <w:numId w:val="1037"/>
        </w:numPr>
      </w:pPr>
      <w:r>
        <w:t xml:space="preserve">kein Personenbezug mehr erforderlich ist;</w:t>
      </w:r>
    </w:p>
    <w:p>
      <w:pPr>
        <w:pStyle w:val="Compact"/>
        <w:numPr>
          <w:ilvl w:val="0"/>
          <w:numId w:val="1037"/>
        </w:numPr>
      </w:pPr>
      <w:r>
        <w:t xml:space="preserve">die Anonymisierung irreversibel ist;</w:t>
      </w:r>
    </w:p>
    <w:p>
      <w:pPr>
        <w:pStyle w:val="Compact"/>
        <w:numPr>
          <w:ilvl w:val="0"/>
          <w:numId w:val="1037"/>
        </w:numPr>
      </w:pPr>
      <w:r>
        <w:t xml:space="preserve">eine Re-Identifizierung vernünftigerweise ausgeschlossen ist.</w:t>
      </w:r>
    </w:p>
    <w:bookmarkEnd w:id="65"/>
    <w:bookmarkStart w:id="66" w:name="vorübergehend-einzuschränkende-daten"/>
    <w:p>
      <w:pPr>
        <w:pStyle w:val="Heading2"/>
      </w:pPr>
      <w:r>
        <w:t xml:space="preserve">11.3 Vorübergehend einzuschränkende Daten</w:t>
      </w:r>
    </w:p>
    <w:p>
      <w:pPr>
        <w:pStyle w:val="FirstParagraph"/>
      </w:pPr>
      <w:r>
        <w:t xml:space="preserve">Beispiele:</w:t>
      </w:r>
    </w:p>
    <w:p>
      <w:pPr>
        <w:pStyle w:val="Compact"/>
        <w:numPr>
          <w:ilvl w:val="0"/>
          <w:numId w:val="1038"/>
        </w:numPr>
      </w:pPr>
      <w:r>
        <w:t xml:space="preserve">Daten bei laufender Beschwerde;</w:t>
      </w:r>
    </w:p>
    <w:p>
      <w:pPr>
        <w:pStyle w:val="Compact"/>
        <w:numPr>
          <w:ilvl w:val="0"/>
          <w:numId w:val="1038"/>
        </w:numPr>
      </w:pPr>
      <w:r>
        <w:t xml:space="preserve">strittige Punktebuchung;</w:t>
      </w:r>
    </w:p>
    <w:p>
      <w:pPr>
        <w:pStyle w:val="Compact"/>
        <w:numPr>
          <w:ilvl w:val="0"/>
          <w:numId w:val="1038"/>
        </w:numPr>
      </w:pPr>
      <w:r>
        <w:t xml:space="preserve">offener Rewardstreit;</w:t>
      </w:r>
    </w:p>
    <w:p>
      <w:pPr>
        <w:pStyle w:val="Compact"/>
        <w:numPr>
          <w:ilvl w:val="0"/>
          <w:numId w:val="1038"/>
        </w:numPr>
      </w:pPr>
      <w:r>
        <w:t xml:space="preserve">laufende Missbrauchsuntersuchung;</w:t>
      </w:r>
    </w:p>
    <w:p>
      <w:pPr>
        <w:pStyle w:val="Compact"/>
        <w:numPr>
          <w:ilvl w:val="0"/>
          <w:numId w:val="1038"/>
        </w:numPr>
      </w:pPr>
      <w:r>
        <w:t xml:space="preserve">gerichtliches oder behördliches Verfahren.</w:t>
      </w:r>
    </w:p>
    <w:bookmarkEnd w:id="66"/>
    <w:bookmarkStart w:id="67" w:name="gesetzlich-aufzubewahrende-daten"/>
    <w:p>
      <w:pPr>
        <w:pStyle w:val="Heading2"/>
      </w:pPr>
      <w:r>
        <w:t xml:space="preserve">11.4 Gesetzlich aufzubewahrende Daten</w:t>
      </w:r>
    </w:p>
    <w:p>
      <w:pPr>
        <w:pStyle w:val="FirstParagraph"/>
      </w:pPr>
      <w:r>
        <w:t xml:space="preserve">Beispiele können sein:</w:t>
      </w:r>
    </w:p>
    <w:p>
      <w:pPr>
        <w:pStyle w:val="Compact"/>
        <w:numPr>
          <w:ilvl w:val="0"/>
          <w:numId w:val="1039"/>
        </w:numPr>
      </w:pPr>
      <w:r>
        <w:t xml:space="preserve">Rechnungen;</w:t>
      </w:r>
    </w:p>
    <w:p>
      <w:pPr>
        <w:pStyle w:val="Compact"/>
        <w:numPr>
          <w:ilvl w:val="0"/>
          <w:numId w:val="1039"/>
        </w:numPr>
      </w:pPr>
      <w:r>
        <w:t xml:space="preserve">Zahlungsbelege;</w:t>
      </w:r>
    </w:p>
    <w:p>
      <w:pPr>
        <w:pStyle w:val="Compact"/>
        <w:numPr>
          <w:ilvl w:val="0"/>
          <w:numId w:val="1039"/>
        </w:numPr>
      </w:pPr>
      <w:r>
        <w:t xml:space="preserve">Vertragsunterlagen;</w:t>
      </w:r>
    </w:p>
    <w:p>
      <w:pPr>
        <w:pStyle w:val="Compact"/>
        <w:numPr>
          <w:ilvl w:val="0"/>
          <w:numId w:val="1039"/>
        </w:numPr>
      </w:pPr>
      <w:r>
        <w:t xml:space="preserve">steuerlich relevante Geschäftspapiere;</w:t>
      </w:r>
    </w:p>
    <w:p>
      <w:pPr>
        <w:pStyle w:val="Compact"/>
        <w:numPr>
          <w:ilvl w:val="0"/>
          <w:numId w:val="1039"/>
        </w:numPr>
      </w:pPr>
      <w:r>
        <w:t xml:space="preserve">Buchungsbelege;</w:t>
      </w:r>
    </w:p>
    <w:p>
      <w:pPr>
        <w:pStyle w:val="Compact"/>
        <w:numPr>
          <w:ilvl w:val="0"/>
          <w:numId w:val="1039"/>
        </w:numPr>
      </w:pPr>
      <w:r>
        <w:t xml:space="preserve">abrechnungsrelevante Gutschriften;</w:t>
      </w:r>
    </w:p>
    <w:p>
      <w:pPr>
        <w:pStyle w:val="Compact"/>
        <w:numPr>
          <w:ilvl w:val="0"/>
          <w:numId w:val="1039"/>
        </w:numPr>
      </w:pPr>
      <w:r>
        <w:t xml:space="preserve">rechtlich relevante Geschäftskorrespondenz.</w:t>
      </w:r>
    </w:p>
    <w:p>
      <w:pPr>
        <w:pStyle w:val="FirstParagraph"/>
      </w:pPr>
      <w:r>
        <w:t xml:space="preserve">Solche Daten werden:</w:t>
      </w:r>
    </w:p>
    <w:p>
      <w:pPr>
        <w:pStyle w:val="Compact"/>
        <w:numPr>
          <w:ilvl w:val="0"/>
          <w:numId w:val="1040"/>
        </w:numPr>
      </w:pPr>
      <w:r>
        <w:t xml:space="preserve">vom aktiven Konto getrennt;</w:t>
      </w:r>
    </w:p>
    <w:p>
      <w:pPr>
        <w:pStyle w:val="Compact"/>
        <w:numPr>
          <w:ilvl w:val="0"/>
          <w:numId w:val="1040"/>
        </w:numPr>
      </w:pPr>
      <w:r>
        <w:t xml:space="preserve">für operative Nutzung gesperrt;</w:t>
      </w:r>
    </w:p>
    <w:p>
      <w:pPr>
        <w:pStyle w:val="Compact"/>
        <w:numPr>
          <w:ilvl w:val="0"/>
          <w:numId w:val="1040"/>
        </w:numPr>
      </w:pPr>
      <w:r>
        <w:t xml:space="preserve">nur für den gesetzlichen Zweck gespeichert;</w:t>
      </w:r>
    </w:p>
    <w:p>
      <w:pPr>
        <w:pStyle w:val="Compact"/>
        <w:numPr>
          <w:ilvl w:val="0"/>
          <w:numId w:val="1040"/>
        </w:numPr>
      </w:pPr>
      <w:r>
        <w:t xml:space="preserve">nach Fristablauf gelöscht.</w:t>
      </w:r>
    </w:p>
    <w:bookmarkEnd w:id="67"/>
    <w:bookmarkStart w:id="68" w:name="sicherheitsnachweise"/>
    <w:p>
      <w:pPr>
        <w:pStyle w:val="Heading2"/>
      </w:pPr>
      <w:r>
        <w:t xml:space="preserve">11.5 Sicherheitsnachweise</w:t>
      </w:r>
    </w:p>
    <w:p>
      <w:pPr>
        <w:pStyle w:val="FirstParagraph"/>
      </w:pPr>
      <w:r>
        <w:t xml:space="preserve">Begrenzt aufbewahrt werden können:</w:t>
      </w:r>
    </w:p>
    <w:p>
      <w:pPr>
        <w:pStyle w:val="Compact"/>
        <w:numPr>
          <w:ilvl w:val="0"/>
          <w:numId w:val="1041"/>
        </w:numPr>
      </w:pPr>
      <w:r>
        <w:t xml:space="preserve">Widerrufsnachweise;</w:t>
      </w:r>
    </w:p>
    <w:p>
      <w:pPr>
        <w:pStyle w:val="Compact"/>
        <w:numPr>
          <w:ilvl w:val="0"/>
          <w:numId w:val="1041"/>
        </w:numPr>
      </w:pPr>
      <w:r>
        <w:t xml:space="preserve">Suppression-Einträge;</w:t>
      </w:r>
    </w:p>
    <w:p>
      <w:pPr>
        <w:pStyle w:val="Compact"/>
        <w:numPr>
          <w:ilvl w:val="0"/>
          <w:numId w:val="1041"/>
        </w:numPr>
      </w:pPr>
      <w:r>
        <w:t xml:space="preserve">Missbrauchssperren;</w:t>
      </w:r>
    </w:p>
    <w:p>
      <w:pPr>
        <w:pStyle w:val="Compact"/>
        <w:numPr>
          <w:ilvl w:val="0"/>
          <w:numId w:val="1041"/>
        </w:numPr>
      </w:pPr>
      <w:r>
        <w:t xml:space="preserve">Login-Sicherheitsereignisse;</w:t>
      </w:r>
    </w:p>
    <w:p>
      <w:pPr>
        <w:pStyle w:val="Compact"/>
        <w:numPr>
          <w:ilvl w:val="0"/>
          <w:numId w:val="1041"/>
        </w:numPr>
      </w:pPr>
      <w:r>
        <w:t xml:space="preserve">Löschprotokolle;</w:t>
      </w:r>
    </w:p>
    <w:p>
      <w:pPr>
        <w:pStyle w:val="Compact"/>
        <w:numPr>
          <w:ilvl w:val="0"/>
          <w:numId w:val="1041"/>
        </w:numPr>
      </w:pPr>
      <w:r>
        <w:t xml:space="preserve">Nachweise einer bereits ausgeführten Anfrage.</w:t>
      </w:r>
    </w:p>
    <w:p>
      <w:pPr>
        <w:pStyle w:val="FirstParagraph"/>
      </w:pPr>
      <w:r>
        <w:t xml:space="preserve">Die Aufbewahrung benötigt eine konkrete Rechtsgrundlage und feste Frist.</w:t>
      </w:r>
    </w:p>
    <w:p>
      <w:r>
        <w:pict>
          <v:rect style="width:0;height:1.5pt" o:hralign="center" o:hrstd="t" o:hr="t"/>
        </w:pict>
      </w:r>
    </w:p>
    <w:bookmarkEnd w:id="68"/>
    <w:bookmarkEnd w:id="69"/>
    <w:bookmarkStart w:id="70" w:name="auswirkungen-der-gastlöschung"/>
    <w:p>
      <w:pPr>
        <w:pStyle w:val="Heading1"/>
      </w:pPr>
      <w:r>
        <w:t xml:space="preserve">12. Auswirkungen der Gastlöschung</w:t>
      </w:r>
    </w:p>
    <w:p>
      <w:pPr>
        <w:pStyle w:val="FirstParagraph"/>
      </w:pPr>
      <w:r>
        <w:t xml:space="preserve">Nach wirksamer Löschung:</w:t>
      </w:r>
    </w:p>
    <w:p>
      <w:pPr>
        <w:pStyle w:val="Compact"/>
        <w:numPr>
          <w:ilvl w:val="0"/>
          <w:numId w:val="1042"/>
        </w:numPr>
      </w:pPr>
      <w:r>
        <w:t xml:space="preserve">Login und Customer-Token werden deaktiviert;</w:t>
      </w:r>
    </w:p>
    <w:p>
      <w:pPr>
        <w:pStyle w:val="Compact"/>
        <w:numPr>
          <w:ilvl w:val="0"/>
          <w:numId w:val="1042"/>
        </w:numPr>
      </w:pPr>
      <w:r>
        <w:t xml:space="preserve">Marketing wird gestoppt;</w:t>
      </w:r>
    </w:p>
    <w:p>
      <w:pPr>
        <w:pStyle w:val="Compact"/>
        <w:numPr>
          <w:ilvl w:val="0"/>
          <w:numId w:val="1042"/>
        </w:numPr>
      </w:pPr>
      <w:r>
        <w:t xml:space="preserve">Push-Subscriptions werden deaktiviert;</w:t>
      </w:r>
    </w:p>
    <w:p>
      <w:pPr>
        <w:pStyle w:val="Compact"/>
        <w:numPr>
          <w:ilvl w:val="0"/>
          <w:numId w:val="1042"/>
        </w:numPr>
      </w:pPr>
      <w:r>
        <w:t xml:space="preserve">Punkte können nicht mehr gesammelt werden;</w:t>
      </w:r>
    </w:p>
    <w:p>
      <w:pPr>
        <w:pStyle w:val="Compact"/>
        <w:numPr>
          <w:ilvl w:val="0"/>
          <w:numId w:val="1042"/>
        </w:numPr>
      </w:pPr>
      <w:r>
        <w:t xml:space="preserve">nicht eingelöste Rewards entfallen, sofern Teilnahmebedingungen dies wirksam vorsehen;</w:t>
      </w:r>
    </w:p>
    <w:p>
      <w:pPr>
        <w:pStyle w:val="Compact"/>
        <w:numPr>
          <w:ilvl w:val="0"/>
          <w:numId w:val="1042"/>
        </w:numPr>
      </w:pPr>
      <w:r>
        <w:t xml:space="preserve">persönliche Restaurantzuordnungen werden gelöscht oder anonymisiert;</w:t>
      </w:r>
    </w:p>
    <w:p>
      <w:pPr>
        <w:pStyle w:val="Compact"/>
        <w:numPr>
          <w:ilvl w:val="0"/>
          <w:numId w:val="1042"/>
        </w:numPr>
      </w:pPr>
      <w:r>
        <w:t xml:space="preserve">das Konto ist für Mitarbeiter nicht mehr sichtbar;</w:t>
      </w:r>
    </w:p>
    <w:p>
      <w:pPr>
        <w:pStyle w:val="Compact"/>
        <w:numPr>
          <w:ilvl w:val="0"/>
          <w:numId w:val="1042"/>
        </w:numPr>
      </w:pPr>
      <w:r>
        <w:t xml:space="preserve">notwendige Sperr- und Nachweisdaten bleiben begrenzt erhalten;</w:t>
      </w:r>
    </w:p>
    <w:p>
      <w:pPr>
        <w:pStyle w:val="Compact"/>
        <w:numPr>
          <w:ilvl w:val="0"/>
          <w:numId w:val="1042"/>
        </w:numPr>
      </w:pPr>
      <w:r>
        <w:t xml:space="preserve">eine Wiederanmeldung gilt als neue Teilnahme.</w:t>
      </w:r>
    </w:p>
    <w:p>
      <w:pPr>
        <w:pStyle w:val="FirstParagraph"/>
      </w:pPr>
      <w:r>
        <w:t xml:space="preserve">Vor Bestätigung muss der Gast klar informiert werden:</w:t>
      </w:r>
    </w:p>
    <w:p>
      <w:pPr>
        <w:pStyle w:val="BlockText"/>
      </w:pPr>
      <w:r>
        <w:t xml:space="preserve">Mit der Löschung endet Ihre Teilnahme an den ausgewählten Bonusprogrammen. Noch vorhandene Punkte und nicht eingelöste Rewards können dadurch verloren gehen. Gesetzlich aufzubewahrende oder zur Rechtsverteidigung erforderliche Daten können für den jeweiligen Zweck eingeschränkt gespeichert bleiben.</w:t>
      </w:r>
    </w:p>
    <w:p>
      <w:pPr>
        <w:pStyle w:val="FirstParagraph"/>
      </w:pPr>
      <w:r>
        <w:t xml:space="preserve">Eine sofortige Löschung darf nicht als Dark Pattern erschwert werden. Gleichzeitig muss der Verlust bestehender Punkte verständlich erklärt werden.</w:t>
      </w:r>
    </w:p>
    <w:p>
      <w:r>
        <w:pict>
          <v:rect style="width:0;height:1.5pt" o:hralign="center" o:hrstd="t" o:hr="t"/>
        </w:pict>
      </w:r>
    </w:p>
    <w:bookmarkEnd w:id="70"/>
    <w:bookmarkStart w:id="71" w:name="löschbestätigung"/>
    <w:p>
      <w:pPr>
        <w:pStyle w:val="Heading1"/>
      </w:pPr>
      <w:r>
        <w:t xml:space="preserve">13. Löschbestätigung</w:t>
      </w:r>
    </w:p>
    <w:p>
      <w:pPr>
        <w:pStyle w:val="FirstParagraph"/>
      </w:pPr>
      <w:r>
        <w:t xml:space="preserve">Nach Abschluss:</w:t>
      </w:r>
    </w:p>
    <w:p>
      <w:pPr>
        <w:pStyle w:val="BlockText"/>
      </w:pPr>
      <w:r>
        <w:t xml:space="preserve">Ihre Löschanfrage wurde bearbeitet.</w:t>
      </w:r>
    </w:p>
    <w:p>
      <w:pPr>
        <w:pStyle w:val="BlockText"/>
      </w:pPr>
      <w:r>
        <w:t xml:space="preserve">Die für die aktive Nutzung des Bonusprogramms erforderlichen personenbezogenen Daten wurden gelöscht oder irreversibel anonymisiert. Daten, die aufgrund gesetzlicher Pflichten oder zur Geltendmachung, Ausübung oder Verteidigung von Rechtsansprüchen weiterhin benötigt werden, werden ausschließlich für diese Zwecke eingeschränkt gespeichert und nach Ablauf der jeweiligen Frist gelöscht.</w:t>
      </w:r>
    </w:p>
    <w:p>
      <w:pPr>
        <w:pStyle w:val="BlockText"/>
      </w:pPr>
      <w:r>
        <w:t xml:space="preserve">Referenz: [REQUEST_REFERENCE]</w:t>
      </w:r>
    </w:p>
    <w:p>
      <w:pPr>
        <w:pStyle w:val="FirstParagraph"/>
      </w:pPr>
      <w:r>
        <w:t xml:space="preserve">Keine detaillierte Offenlegung interner Tabellen oder Sicherheitsarchitektur.</w:t>
      </w:r>
    </w:p>
    <w:p>
      <w:r>
        <w:pict>
          <v:rect style="width:0;height:1.5pt" o:hralign="center" o:hrstd="t" o:hr="t"/>
        </w:pict>
      </w:r>
    </w:p>
    <w:bookmarkEnd w:id="71"/>
    <w:bookmarkStart w:id="72" w:name="teilweise-ablehnung"/>
    <w:p>
      <w:pPr>
        <w:pStyle w:val="Heading1"/>
      </w:pPr>
      <w:r>
        <w:t xml:space="preserve">14. Teilweise Ablehnung</w:t>
      </w:r>
    </w:p>
    <w:p>
      <w:pPr>
        <w:pStyle w:val="FirstParagraph"/>
      </w:pPr>
      <w:r>
        <w:t xml:space="preserve">Ein Antrag kann teilweise abgelehnt werden, wenn Daten weiter benötigt werden.</w:t>
      </w:r>
    </w:p>
    <w:p>
      <w:pPr>
        <w:pStyle w:val="BodyText"/>
      </w:pPr>
      <w:r>
        <w:t xml:space="preserve">Die Antwort muss enthalten:</w:t>
      </w:r>
    </w:p>
    <w:p>
      <w:pPr>
        <w:pStyle w:val="Compact"/>
        <w:numPr>
          <w:ilvl w:val="0"/>
          <w:numId w:val="1043"/>
        </w:numPr>
      </w:pPr>
      <w:r>
        <w:t xml:space="preserve">betroffene Datenkategorie;</w:t>
      </w:r>
    </w:p>
    <w:p>
      <w:pPr>
        <w:pStyle w:val="Compact"/>
        <w:numPr>
          <w:ilvl w:val="0"/>
          <w:numId w:val="1043"/>
        </w:numPr>
      </w:pPr>
      <w:r>
        <w:t xml:space="preserve">Grund der weiteren Speicherung;</w:t>
      </w:r>
    </w:p>
    <w:p>
      <w:pPr>
        <w:pStyle w:val="Compact"/>
        <w:numPr>
          <w:ilvl w:val="0"/>
          <w:numId w:val="1043"/>
        </w:numPr>
      </w:pPr>
      <w:r>
        <w:t xml:space="preserve">Zweck;</w:t>
      </w:r>
    </w:p>
    <w:p>
      <w:pPr>
        <w:pStyle w:val="Compact"/>
        <w:numPr>
          <w:ilvl w:val="0"/>
          <w:numId w:val="1043"/>
        </w:numPr>
      </w:pPr>
      <w:r>
        <w:t xml:space="preserve">voraussichtliche Dauer;</w:t>
      </w:r>
    </w:p>
    <w:p>
      <w:pPr>
        <w:pStyle w:val="Compact"/>
        <w:numPr>
          <w:ilvl w:val="0"/>
          <w:numId w:val="1043"/>
        </w:numPr>
      </w:pPr>
      <w:r>
        <w:t xml:space="preserve">Einschränkung der Nutzung;</w:t>
      </w:r>
    </w:p>
    <w:p>
      <w:pPr>
        <w:pStyle w:val="Compact"/>
        <w:numPr>
          <w:ilvl w:val="0"/>
          <w:numId w:val="1043"/>
        </w:numPr>
      </w:pPr>
      <w:r>
        <w:t xml:space="preserve">Beschwerdemöglichkeit;</w:t>
      </w:r>
    </w:p>
    <w:p>
      <w:pPr>
        <w:pStyle w:val="Compact"/>
        <w:numPr>
          <w:ilvl w:val="0"/>
          <w:numId w:val="1043"/>
        </w:numPr>
      </w:pPr>
      <w:r>
        <w:t xml:space="preserve">Kontakt.</w:t>
      </w:r>
    </w:p>
    <w:p>
      <w:pPr>
        <w:pStyle w:val="FirstParagraph"/>
      </w:pPr>
      <w:r>
        <w:t xml:space="preserve">Beispiel:</w:t>
      </w:r>
    </w:p>
    <w:p>
      <w:pPr>
        <w:pStyle w:val="BlockText"/>
      </w:pPr>
      <w:r>
        <w:t xml:space="preserve">Bestimmte Abrechnungsunterlagen können derzeit nicht gelöscht werden, da sie gesetzlichen Aufbewahrungspflichten unterliegen. Diese Daten werden nicht mehr für das Bonusprogramm oder Marketing verwendet, sondern ausschließlich eingeschränkt für die Erfüllung der gesetzlichen Verpflichtung gespeichert.</w:t>
      </w:r>
    </w:p>
    <w:p>
      <w:r>
        <w:pict>
          <v:rect style="width:0;height:1.5pt" o:hralign="center" o:hrstd="t" o:hr="t"/>
        </w:pict>
      </w:r>
    </w:p>
    <w:bookmarkEnd w:id="72"/>
    <w:bookmarkStart w:id="76" w:name="backups"/>
    <w:p>
      <w:pPr>
        <w:pStyle w:val="Heading1"/>
      </w:pPr>
      <w:r>
        <w:t xml:space="preserve">15. Backups</w:t>
      </w:r>
    </w:p>
    <w:bookmarkStart w:id="73" w:name="grundsatz-2"/>
    <w:p>
      <w:pPr>
        <w:pStyle w:val="Heading2"/>
      </w:pPr>
      <w:r>
        <w:t xml:space="preserve">15.1 Grundsatz</w:t>
      </w:r>
    </w:p>
    <w:p>
      <w:pPr>
        <w:pStyle w:val="FirstParagraph"/>
      </w:pPr>
      <w:r>
        <w:t xml:space="preserve">Eine Löschung muss sich auch auf Backupkonzepte beziehen.</w:t>
      </w:r>
    </w:p>
    <w:p>
      <w:pPr>
        <w:pStyle w:val="BodyText"/>
      </w:pPr>
      <w:r>
        <w:t xml:space="preserve">Eine sofortige selektive Entfernung einzelner Datensätze aus jeder unveränderlichen Sicherung ist technisch möglicherweise nicht verhältnismäßig oder sicher umsetzbar.</w:t>
      </w:r>
    </w:p>
    <w:bookmarkEnd w:id="73"/>
    <w:bookmarkStart w:id="74" w:name="wuxuai-standard"/>
    <w:p>
      <w:pPr>
        <w:pStyle w:val="Heading2"/>
      </w:pPr>
      <w:r>
        <w:t xml:space="preserve">15.2 WUXUAI-Standard</w:t>
      </w:r>
    </w:p>
    <w:p>
      <w:pPr>
        <w:pStyle w:val="Compact"/>
        <w:numPr>
          <w:ilvl w:val="0"/>
          <w:numId w:val="1044"/>
        </w:numPr>
      </w:pPr>
      <w:r>
        <w:t xml:space="preserve">gelöschte Daten werden aus aktiven Systemen entfernt;</w:t>
      </w:r>
    </w:p>
    <w:p>
      <w:pPr>
        <w:pStyle w:val="Compact"/>
        <w:numPr>
          <w:ilvl w:val="0"/>
          <w:numId w:val="1044"/>
        </w:numPr>
      </w:pPr>
      <w:r>
        <w:t xml:space="preserve">Backups werden nicht für operative Zwecke durchsucht;</w:t>
      </w:r>
    </w:p>
    <w:p>
      <w:pPr>
        <w:pStyle w:val="Compact"/>
        <w:numPr>
          <w:ilvl w:val="0"/>
          <w:numId w:val="1044"/>
        </w:numPr>
      </w:pPr>
      <w:r>
        <w:t xml:space="preserve">Backups unterliegen festen Rotationsfristen;</w:t>
      </w:r>
    </w:p>
    <w:p>
      <w:pPr>
        <w:pStyle w:val="Compact"/>
        <w:numPr>
          <w:ilvl w:val="0"/>
          <w:numId w:val="1044"/>
        </w:numPr>
      </w:pPr>
      <w:r>
        <w:t xml:space="preserve">bei einer Wiederherstellung muss ein Lösch-Nachlauf ausgeführt werden;</w:t>
      </w:r>
    </w:p>
    <w:p>
      <w:pPr>
        <w:pStyle w:val="Compact"/>
        <w:numPr>
          <w:ilvl w:val="0"/>
          <w:numId w:val="1044"/>
        </w:numPr>
      </w:pPr>
      <w:r>
        <w:t xml:space="preserve">gelöschte Datensätze dürfen nicht dauerhaft wieder aktiv werden;</w:t>
      </w:r>
    </w:p>
    <w:p>
      <w:pPr>
        <w:pStyle w:val="Compact"/>
        <w:numPr>
          <w:ilvl w:val="0"/>
          <w:numId w:val="1044"/>
        </w:numPr>
      </w:pPr>
      <w:r>
        <w:t xml:space="preserve">Restore-Ereignisse werden dokumentiert.</w:t>
      </w:r>
    </w:p>
    <w:bookmarkEnd w:id="74"/>
    <w:bookmarkStart w:id="75" w:name="backup-löschregister"/>
    <w:p>
      <w:pPr>
        <w:pStyle w:val="Heading2"/>
      </w:pPr>
      <w:r>
        <w:t xml:space="preserve">15.3 Backup-Löschregister</w:t>
      </w:r>
    </w:p>
    <w:p>
      <w:pPr>
        <w:pStyle w:val="SourceCode"/>
      </w:pPr>
      <w:r>
        <w:rPr>
          <w:rStyle w:val="VerbatimChar"/>
        </w:rPr>
        <w:t xml:space="preserve">customer_reference_hash</w:t>
      </w:r>
      <w:r>
        <w:br/>
      </w:r>
      <w:r>
        <w:rPr>
          <w:rStyle w:val="VerbatimChar"/>
        </w:rPr>
        <w:t xml:space="preserve">deletion_completed_at</w:t>
      </w:r>
      <w:r>
        <w:br/>
      </w:r>
      <w:r>
        <w:rPr>
          <w:rStyle w:val="VerbatimChar"/>
        </w:rPr>
        <w:t xml:space="preserve">backup_expiry_at</w:t>
      </w:r>
      <w:r>
        <w:br/>
      </w:r>
      <w:r>
        <w:rPr>
          <w:rStyle w:val="VerbatimChar"/>
        </w:rPr>
        <w:t xml:space="preserve">restore_redelete_required</w:t>
      </w:r>
      <w:r>
        <w:br/>
      </w:r>
      <w:r>
        <w:rPr>
          <w:rStyle w:val="VerbatimChar"/>
        </w:rPr>
        <w:t xml:space="preserve">request_reference</w:t>
      </w:r>
    </w:p>
    <w:p>
      <w:pPr>
        <w:pStyle w:val="FirstParagraph"/>
      </w:pPr>
      <w:r>
        <w:t xml:space="preserve">Keine unnötigen Klartextidentifikatoren.</w:t>
      </w:r>
    </w:p>
    <w:p>
      <w:r>
        <w:pict>
          <v:rect style="width:0;height:1.5pt" o:hralign="center" o:hrstd="t" o:hr="t"/>
        </w:pict>
      </w:r>
    </w:p>
    <w:bookmarkEnd w:id="75"/>
    <w:bookmarkEnd w:id="76"/>
    <w:bookmarkStart w:id="80" w:name="löschjob"/>
    <w:p>
      <w:pPr>
        <w:pStyle w:val="Heading1"/>
      </w:pPr>
      <w:r>
        <w:t xml:space="preserve">16. Löschjob</w:t>
      </w:r>
    </w:p>
    <w:bookmarkStart w:id="77" w:name="vorbereitungsphase"/>
    <w:p>
      <w:pPr>
        <w:pStyle w:val="Heading2"/>
      </w:pPr>
      <w:r>
        <w:t xml:space="preserve">16.1 Vorbereitungsphase</w:t>
      </w:r>
    </w:p>
    <w:p>
      <w:pPr>
        <w:pStyle w:val="Compact"/>
        <w:numPr>
          <w:ilvl w:val="0"/>
          <w:numId w:val="1045"/>
        </w:numPr>
      </w:pPr>
      <w:r>
        <w:t xml:space="preserve">Antrag genehmigt.</w:t>
      </w:r>
    </w:p>
    <w:p>
      <w:pPr>
        <w:pStyle w:val="Compact"/>
        <w:numPr>
          <w:ilvl w:val="0"/>
          <w:numId w:val="1045"/>
        </w:numPr>
      </w:pPr>
      <w:r>
        <w:t xml:space="preserve">Identität bestätigt.</w:t>
      </w:r>
    </w:p>
    <w:p>
      <w:pPr>
        <w:pStyle w:val="Compact"/>
        <w:numPr>
          <w:ilvl w:val="0"/>
          <w:numId w:val="1045"/>
        </w:numPr>
      </w:pPr>
      <w:r>
        <w:t xml:space="preserve">Restaurantumfang bestimmt.</w:t>
      </w:r>
    </w:p>
    <w:p>
      <w:pPr>
        <w:pStyle w:val="Compact"/>
        <w:numPr>
          <w:ilvl w:val="0"/>
          <w:numId w:val="1045"/>
        </w:numPr>
      </w:pPr>
      <w:r>
        <w:t xml:space="preserve">Legal Hold geprüft.</w:t>
      </w:r>
    </w:p>
    <w:p>
      <w:pPr>
        <w:pStyle w:val="Compact"/>
        <w:numPr>
          <w:ilvl w:val="0"/>
          <w:numId w:val="1045"/>
        </w:numPr>
      </w:pPr>
      <w:r>
        <w:t xml:space="preserve">Aufbewahrungspflichten klassifiziert.</w:t>
      </w:r>
    </w:p>
    <w:p>
      <w:pPr>
        <w:pStyle w:val="Compact"/>
        <w:numPr>
          <w:ilvl w:val="0"/>
          <w:numId w:val="1045"/>
        </w:numPr>
      </w:pPr>
      <w:r>
        <w:t xml:space="preserve">Marketing sofort gestoppt.</w:t>
      </w:r>
    </w:p>
    <w:p>
      <w:pPr>
        <w:pStyle w:val="Compact"/>
        <w:numPr>
          <w:ilvl w:val="0"/>
          <w:numId w:val="1045"/>
        </w:numPr>
      </w:pPr>
      <w:r>
        <w:t xml:space="preserve">Konto vorläufig eingeschränkt.</w:t>
      </w:r>
    </w:p>
    <w:p>
      <w:pPr>
        <w:pStyle w:val="Compact"/>
        <w:numPr>
          <w:ilvl w:val="0"/>
          <w:numId w:val="1045"/>
        </w:numPr>
      </w:pPr>
      <w:r>
        <w:t xml:space="preserve">Löschplan erstellt.</w:t>
      </w:r>
    </w:p>
    <w:bookmarkEnd w:id="77"/>
    <w:bookmarkStart w:id="78" w:name="ausführung"/>
    <w:p>
      <w:pPr>
        <w:pStyle w:val="Heading2"/>
      </w:pPr>
      <w:r>
        <w:t xml:space="preserve">16.2 Ausführung</w:t>
      </w:r>
    </w:p>
    <w:p>
      <w:pPr>
        <w:pStyle w:val="FirstParagraph"/>
      </w:pPr>
      <w:r>
        <w:t xml:space="preserve">Reihenfolge:</w:t>
      </w:r>
    </w:p>
    <w:p>
      <w:pPr>
        <w:pStyle w:val="Compact"/>
        <w:numPr>
          <w:ilvl w:val="0"/>
          <w:numId w:val="1046"/>
        </w:numPr>
      </w:pPr>
      <w:r>
        <w:t xml:space="preserve">offene Sessions widerrufen;</w:t>
      </w:r>
    </w:p>
    <w:p>
      <w:pPr>
        <w:pStyle w:val="Compact"/>
        <w:numPr>
          <w:ilvl w:val="0"/>
          <w:numId w:val="1046"/>
        </w:numPr>
      </w:pPr>
      <w:r>
        <w:t xml:space="preserve">Marketingzustellung stoppen;</w:t>
      </w:r>
    </w:p>
    <w:p>
      <w:pPr>
        <w:pStyle w:val="Compact"/>
        <w:numPr>
          <w:ilvl w:val="0"/>
          <w:numId w:val="1046"/>
        </w:numPr>
      </w:pPr>
      <w:r>
        <w:t xml:space="preserve">Push-Subscriptions deaktivieren;</w:t>
      </w:r>
    </w:p>
    <w:p>
      <w:pPr>
        <w:pStyle w:val="Compact"/>
        <w:numPr>
          <w:ilvl w:val="0"/>
          <w:numId w:val="1046"/>
        </w:numPr>
      </w:pPr>
      <w:r>
        <w:t xml:space="preserve">temporäre Tokens löschen;</w:t>
      </w:r>
    </w:p>
    <w:p>
      <w:pPr>
        <w:pStyle w:val="Compact"/>
        <w:numPr>
          <w:ilvl w:val="0"/>
          <w:numId w:val="1046"/>
        </w:numPr>
      </w:pPr>
      <w:r>
        <w:t xml:space="preserve">Profilfelder löschen;</w:t>
      </w:r>
    </w:p>
    <w:p>
      <w:pPr>
        <w:pStyle w:val="Compact"/>
        <w:numPr>
          <w:ilvl w:val="0"/>
          <w:numId w:val="1046"/>
        </w:numPr>
      </w:pPr>
      <w:r>
        <w:t xml:space="preserve">Restaurantmitgliedschaften löschen oder anonymisieren;</w:t>
      </w:r>
    </w:p>
    <w:p>
      <w:pPr>
        <w:pStyle w:val="Compact"/>
        <w:numPr>
          <w:ilvl w:val="0"/>
          <w:numId w:val="1046"/>
        </w:numPr>
      </w:pPr>
      <w:r>
        <w:t xml:space="preserve">Punktehistorie löschen oder anonymisieren;</w:t>
      </w:r>
    </w:p>
    <w:p>
      <w:pPr>
        <w:pStyle w:val="Compact"/>
        <w:numPr>
          <w:ilvl w:val="0"/>
          <w:numId w:val="1046"/>
        </w:numPr>
      </w:pPr>
      <w:r>
        <w:t xml:space="preserve">Rewarddaten löschen oder anonymisieren;</w:t>
      </w:r>
    </w:p>
    <w:p>
      <w:pPr>
        <w:pStyle w:val="Compact"/>
        <w:numPr>
          <w:ilvl w:val="0"/>
          <w:numId w:val="1046"/>
        </w:numPr>
      </w:pPr>
      <w:r>
        <w:t xml:space="preserve">optionale Analyticsdaten löschen;</w:t>
      </w:r>
    </w:p>
    <w:p>
      <w:pPr>
        <w:pStyle w:val="Compact"/>
        <w:numPr>
          <w:ilvl w:val="0"/>
          <w:numId w:val="1046"/>
        </w:numPr>
      </w:pPr>
      <w:r>
        <w:t xml:space="preserve">notwendige Nachweise isolieren;</w:t>
      </w:r>
    </w:p>
    <w:p>
      <w:pPr>
        <w:pStyle w:val="Compact"/>
        <w:numPr>
          <w:ilvl w:val="0"/>
          <w:numId w:val="1046"/>
        </w:numPr>
      </w:pPr>
      <w:r>
        <w:t xml:space="preserve">Suchindizes aktualisieren;</w:t>
      </w:r>
    </w:p>
    <w:p>
      <w:pPr>
        <w:pStyle w:val="Compact"/>
        <w:numPr>
          <w:ilvl w:val="0"/>
          <w:numId w:val="1046"/>
        </w:numPr>
      </w:pPr>
      <w:r>
        <w:t xml:space="preserve">Cache invalidieren;</w:t>
      </w:r>
    </w:p>
    <w:p>
      <w:pPr>
        <w:pStyle w:val="Compact"/>
        <w:numPr>
          <w:ilvl w:val="0"/>
          <w:numId w:val="1046"/>
        </w:numPr>
      </w:pPr>
      <w:r>
        <w:t xml:space="preserve">Exportdateien löschen;</w:t>
      </w:r>
    </w:p>
    <w:p>
      <w:pPr>
        <w:pStyle w:val="Compact"/>
        <w:numPr>
          <w:ilvl w:val="0"/>
          <w:numId w:val="1046"/>
        </w:numPr>
      </w:pPr>
      <w:r>
        <w:t xml:space="preserve">Audit-Abschlussereignis erzeugen.</w:t>
      </w:r>
    </w:p>
    <w:bookmarkEnd w:id="78"/>
    <w:bookmarkStart w:id="79" w:name="wiederholbarkeit"/>
    <w:p>
      <w:pPr>
        <w:pStyle w:val="Heading2"/>
      </w:pPr>
      <w:r>
        <w:t xml:space="preserve">16.3 Wiederholbarkeit</w:t>
      </w:r>
    </w:p>
    <w:p>
      <w:pPr>
        <w:pStyle w:val="FirstParagraph"/>
      </w:pPr>
      <w:r>
        <w:t xml:space="preserve">Der Löschjob muss idempotent sein.</w:t>
      </w:r>
    </w:p>
    <w:p>
      <w:pPr>
        <w:pStyle w:val="BodyText"/>
      </w:pPr>
      <w:r>
        <w:t xml:space="preserve">Erneute Ausführung darf:</w:t>
      </w:r>
    </w:p>
    <w:p>
      <w:pPr>
        <w:pStyle w:val="Compact"/>
        <w:numPr>
          <w:ilvl w:val="0"/>
          <w:numId w:val="1047"/>
        </w:numPr>
      </w:pPr>
      <w:r>
        <w:t xml:space="preserve">keine Fehler verursachen;</w:t>
      </w:r>
    </w:p>
    <w:p>
      <w:pPr>
        <w:pStyle w:val="Compact"/>
        <w:numPr>
          <w:ilvl w:val="0"/>
          <w:numId w:val="1047"/>
        </w:numPr>
      </w:pPr>
      <w:r>
        <w:t xml:space="preserve">keine Daten wiederherstellen;</w:t>
      </w:r>
    </w:p>
    <w:p>
      <w:pPr>
        <w:pStyle w:val="Compact"/>
        <w:numPr>
          <w:ilvl w:val="0"/>
          <w:numId w:val="1047"/>
        </w:numPr>
      </w:pPr>
      <w:r>
        <w:t xml:space="preserve">keine doppelten Gegenbuchungen erzeugen;</w:t>
      </w:r>
    </w:p>
    <w:p>
      <w:pPr>
        <w:pStyle w:val="Compact"/>
        <w:numPr>
          <w:ilvl w:val="0"/>
          <w:numId w:val="1047"/>
        </w:numPr>
      </w:pPr>
      <w:r>
        <w:t xml:space="preserve">keine fremden Restaurantdaten löschen.</w:t>
      </w:r>
    </w:p>
    <w:p>
      <w:r>
        <w:pict>
          <v:rect style="width:0;height:1.5pt" o:hralign="center" o:hrstd="t" o:hr="t"/>
        </w:pict>
      </w:r>
    </w:p>
    <w:bookmarkEnd w:id="79"/>
    <w:bookmarkEnd w:id="80"/>
    <w:bookmarkStart w:id="84" w:name="legal-hold"/>
    <w:p>
      <w:pPr>
        <w:pStyle w:val="Heading1"/>
      </w:pPr>
      <w:r>
        <w:t xml:space="preserve">17. Legal Hold</w:t>
      </w:r>
    </w:p>
    <w:bookmarkStart w:id="81" w:name="zweck-1"/>
    <w:p>
      <w:pPr>
        <w:pStyle w:val="Heading2"/>
      </w:pPr>
      <w:r>
        <w:t xml:space="preserve">17.1 Zweck</w:t>
      </w:r>
    </w:p>
    <w:p>
      <w:pPr>
        <w:pStyle w:val="FirstParagraph"/>
      </w:pPr>
      <w:r>
        <w:t xml:space="preserve">Ein Legal Hold verhindert die Löschung konkret benötigter Daten wegen:</w:t>
      </w:r>
    </w:p>
    <w:p>
      <w:pPr>
        <w:pStyle w:val="Compact"/>
        <w:numPr>
          <w:ilvl w:val="0"/>
          <w:numId w:val="1048"/>
        </w:numPr>
      </w:pPr>
      <w:r>
        <w:t xml:space="preserve">laufendem Gerichtsverfahren;</w:t>
      </w:r>
    </w:p>
    <w:p>
      <w:pPr>
        <w:pStyle w:val="Compact"/>
        <w:numPr>
          <w:ilvl w:val="0"/>
          <w:numId w:val="1048"/>
        </w:numPr>
      </w:pPr>
      <w:r>
        <w:t xml:space="preserve">behördlichem Verfahren;</w:t>
      </w:r>
    </w:p>
    <w:p>
      <w:pPr>
        <w:pStyle w:val="Compact"/>
        <w:numPr>
          <w:ilvl w:val="0"/>
          <w:numId w:val="1048"/>
        </w:numPr>
      </w:pPr>
      <w:r>
        <w:t xml:space="preserve">konkreter Rechtsverteidigung;</w:t>
      </w:r>
    </w:p>
    <w:p>
      <w:pPr>
        <w:pStyle w:val="Compact"/>
        <w:numPr>
          <w:ilvl w:val="0"/>
          <w:numId w:val="1048"/>
        </w:numPr>
      </w:pPr>
      <w:r>
        <w:t xml:space="preserve">dokumentiertem Betrugs- oder Missbrauchsfall;</w:t>
      </w:r>
    </w:p>
    <w:p>
      <w:pPr>
        <w:pStyle w:val="Compact"/>
        <w:numPr>
          <w:ilvl w:val="0"/>
          <w:numId w:val="1048"/>
        </w:numPr>
      </w:pPr>
      <w:r>
        <w:t xml:space="preserve">steuerlicher Prüfung.</w:t>
      </w:r>
    </w:p>
    <w:bookmarkEnd w:id="81"/>
    <w:bookmarkStart w:id="82" w:name="voraussetzungen"/>
    <w:p>
      <w:pPr>
        <w:pStyle w:val="Heading2"/>
      </w:pPr>
      <w:r>
        <w:t xml:space="preserve">17.2 Voraussetzungen</w:t>
      </w:r>
    </w:p>
    <w:p>
      <w:pPr>
        <w:pStyle w:val="FirstParagraph"/>
      </w:pPr>
      <w:r>
        <w:t xml:space="preserve">Ein Legal Hold benötigt:</w:t>
      </w:r>
    </w:p>
    <w:p>
      <w:pPr>
        <w:pStyle w:val="SourceCode"/>
      </w:pPr>
      <w:r>
        <w:rPr>
          <w:rStyle w:val="VerbatimChar"/>
        </w:rPr>
        <w:t xml:space="preserve">legal_hold_id</w:t>
      </w:r>
      <w:r>
        <w:br/>
      </w:r>
      <w:r>
        <w:rPr>
          <w:rStyle w:val="VerbatimChar"/>
        </w:rPr>
        <w:t xml:space="preserve">scope</w:t>
      </w:r>
      <w:r>
        <w:br/>
      </w:r>
      <w:r>
        <w:rPr>
          <w:rStyle w:val="VerbatimChar"/>
        </w:rPr>
        <w:t xml:space="preserve">reason</w:t>
      </w:r>
      <w:r>
        <w:br/>
      </w:r>
      <w:r>
        <w:rPr>
          <w:rStyle w:val="VerbatimChar"/>
        </w:rPr>
        <w:t xml:space="preserve">legal_basis</w:t>
      </w:r>
      <w:r>
        <w:br/>
      </w:r>
      <w:r>
        <w:rPr>
          <w:rStyle w:val="VerbatimChar"/>
        </w:rPr>
        <w:t xml:space="preserve">approved_by</w:t>
      </w:r>
      <w:r>
        <w:br/>
      </w:r>
      <w:r>
        <w:rPr>
          <w:rStyle w:val="VerbatimChar"/>
        </w:rPr>
        <w:t xml:space="preserve">created_at</w:t>
      </w:r>
      <w:r>
        <w:br/>
      </w:r>
      <w:r>
        <w:rPr>
          <w:rStyle w:val="VerbatimChar"/>
        </w:rPr>
        <w:t xml:space="preserve">review_at</w:t>
      </w:r>
      <w:r>
        <w:br/>
      </w:r>
      <w:r>
        <w:rPr>
          <w:rStyle w:val="VerbatimChar"/>
        </w:rPr>
        <w:t xml:space="preserve">expires_at</w:t>
      </w:r>
      <w:r>
        <w:br/>
      </w:r>
      <w:r>
        <w:rPr>
          <w:rStyle w:val="VerbatimChar"/>
        </w:rPr>
        <w:t xml:space="preserve">case_reference</w:t>
      </w:r>
    </w:p>
    <w:bookmarkEnd w:id="82"/>
    <w:bookmarkStart w:id="83" w:name="verbot"/>
    <w:p>
      <w:pPr>
        <w:pStyle w:val="Heading2"/>
      </w:pPr>
      <w:r>
        <w:t xml:space="preserve">17.3 Verbot</w:t>
      </w:r>
    </w:p>
    <w:p>
      <w:pPr>
        <w:pStyle w:val="FirstParagraph"/>
      </w:pPr>
      <w:r>
        <w:t xml:space="preserve">Ein pauschaler Legal Hold für alle Kunden ist unzulässig.</w:t>
      </w:r>
    </w:p>
    <w:p>
      <w:pPr>
        <w:pStyle w:val="BodyText"/>
      </w:pPr>
      <w:r>
        <w:t xml:space="preserve">Legal Holds müssen:</w:t>
      </w:r>
    </w:p>
    <w:p>
      <w:pPr>
        <w:pStyle w:val="Compact"/>
        <w:numPr>
          <w:ilvl w:val="0"/>
          <w:numId w:val="1049"/>
        </w:numPr>
      </w:pPr>
      <w:r>
        <w:t xml:space="preserve">konkret;</w:t>
      </w:r>
    </w:p>
    <w:p>
      <w:pPr>
        <w:pStyle w:val="Compact"/>
        <w:numPr>
          <w:ilvl w:val="0"/>
          <w:numId w:val="1049"/>
        </w:numPr>
      </w:pPr>
      <w:r>
        <w:t xml:space="preserve">zeitlich überprüfbar;</w:t>
      </w:r>
    </w:p>
    <w:p>
      <w:pPr>
        <w:pStyle w:val="Compact"/>
        <w:numPr>
          <w:ilvl w:val="0"/>
          <w:numId w:val="1049"/>
        </w:numPr>
      </w:pPr>
      <w:r>
        <w:t xml:space="preserve">auf notwendige Daten begrenzt</w:t>
      </w:r>
    </w:p>
    <w:p>
      <w:pPr>
        <w:pStyle w:val="FirstParagraph"/>
      </w:pPr>
      <w:r>
        <w:t xml:space="preserve">sein.</w:t>
      </w:r>
    </w:p>
    <w:p>
      <w:r>
        <w:pict>
          <v:rect style="width:0;height:1.5pt" o:hralign="center" o:hrstd="t" o:hr="t"/>
        </w:pict>
      </w:r>
    </w:p>
    <w:bookmarkEnd w:id="83"/>
    <w:bookmarkEnd w:id="84"/>
    <w:bookmarkStart w:id="90" w:name="Xcfb818c33645b02a2d72dbdadf4ce6d370899ef"/>
    <w:p>
      <w:pPr>
        <w:pStyle w:val="Heading1"/>
      </w:pPr>
      <w:r>
        <w:t xml:space="preserve">18. Datenlöschung bei Vertragsende eines Restaurants</w:t>
      </w:r>
    </w:p>
    <w:bookmarkStart w:id="85" w:name="vor-vertragsende"/>
    <w:p>
      <w:pPr>
        <w:pStyle w:val="Heading2"/>
      </w:pPr>
      <w:r>
        <w:t xml:space="preserve">18.1 Vor Vertragsende</w:t>
      </w:r>
    </w:p>
    <w:p>
      <w:pPr>
        <w:pStyle w:val="FirstParagraph"/>
      </w:pPr>
      <w:r>
        <w:t xml:space="preserve">WUXUAI bietet dem Restaurant:</w:t>
      </w:r>
    </w:p>
    <w:p>
      <w:pPr>
        <w:pStyle w:val="Compact"/>
        <w:numPr>
          <w:ilvl w:val="0"/>
          <w:numId w:val="1050"/>
        </w:numPr>
      </w:pPr>
      <w:r>
        <w:t xml:space="preserve">Export der Restaurantstammdaten;</w:t>
      </w:r>
    </w:p>
    <w:p>
      <w:pPr>
        <w:pStyle w:val="Compact"/>
        <w:numPr>
          <w:ilvl w:val="0"/>
          <w:numId w:val="1050"/>
        </w:numPr>
      </w:pPr>
      <w:r>
        <w:t xml:space="preserve">Export von Reward- und Punkteaggregaten;</w:t>
      </w:r>
    </w:p>
    <w:p>
      <w:pPr>
        <w:pStyle w:val="Compact"/>
        <w:numPr>
          <w:ilvl w:val="0"/>
          <w:numId w:val="1050"/>
        </w:numPr>
      </w:pPr>
      <w:r>
        <w:t xml:space="preserve">Export notwendiger Gästedaten im zulässigen Umfang;</w:t>
      </w:r>
    </w:p>
    <w:p>
      <w:pPr>
        <w:pStyle w:val="Compact"/>
        <w:numPr>
          <w:ilvl w:val="0"/>
          <w:numId w:val="1050"/>
        </w:numPr>
      </w:pPr>
      <w:r>
        <w:t xml:space="preserve">Export von Consents und Legal-Acceptances;</w:t>
      </w:r>
    </w:p>
    <w:p>
      <w:pPr>
        <w:pStyle w:val="Compact"/>
        <w:numPr>
          <w:ilvl w:val="0"/>
          <w:numId w:val="1050"/>
        </w:numPr>
      </w:pPr>
      <w:r>
        <w:t xml:space="preserve">Bearbeitung offener Datenschutzanfragen.</w:t>
      </w:r>
    </w:p>
    <w:bookmarkEnd w:id="85"/>
    <w:bookmarkStart w:id="86" w:name="nach-vertragsende"/>
    <w:p>
      <w:pPr>
        <w:pStyle w:val="Heading2"/>
      </w:pPr>
      <w:r>
        <w:t xml:space="preserve">18.2 Nach Vertragsende</w:t>
      </w:r>
    </w:p>
    <w:p>
      <w:pPr>
        <w:pStyle w:val="FirstParagraph"/>
      </w:pPr>
      <w:r>
        <w:t xml:space="preserve">Phasen:</w:t>
      </w:r>
    </w:p>
    <w:p>
      <w:pPr>
        <w:pStyle w:val="SourceCode"/>
      </w:pPr>
      <w:r>
        <w:rPr>
          <w:rStyle w:val="VerbatimChar"/>
        </w:rPr>
        <w:t xml:space="preserve">ACTIVE</w:t>
      </w:r>
      <w:r>
        <w:br/>
      </w:r>
      <w:r>
        <w:rPr>
          <w:rStyle w:val="VerbatimChar"/>
        </w:rPr>
        <w:t xml:space="preserve">TERMINATION_PENDING</w:t>
      </w:r>
      <w:r>
        <w:br/>
      </w:r>
      <w:r>
        <w:rPr>
          <w:rStyle w:val="VerbatimChar"/>
        </w:rPr>
        <w:t xml:space="preserve">READ_ONLY</w:t>
      </w:r>
      <w:r>
        <w:br/>
      </w:r>
      <w:r>
        <w:rPr>
          <w:rStyle w:val="VerbatimChar"/>
        </w:rPr>
        <w:t xml:space="preserve">EXPORT_WINDOW</w:t>
      </w:r>
      <w:r>
        <w:br/>
      </w:r>
      <w:r>
        <w:rPr>
          <w:rStyle w:val="VerbatimChar"/>
        </w:rPr>
        <w:t xml:space="preserve">DELETION_SCHEDULED</w:t>
      </w:r>
      <w:r>
        <w:br/>
      </w:r>
      <w:r>
        <w:rPr>
          <w:rStyle w:val="VerbatimChar"/>
        </w:rPr>
        <w:t xml:space="preserve">DELETED</w:t>
      </w:r>
    </w:p>
    <w:bookmarkEnd w:id="86"/>
    <w:bookmarkStart w:id="87" w:name="empfohlene-exportfrist"/>
    <w:p>
      <w:pPr>
        <w:pStyle w:val="Heading2"/>
      </w:pPr>
      <w:r>
        <w:t xml:space="preserve">18.3 Empfohlene Exportfrist</w:t>
      </w:r>
    </w:p>
    <w:p>
      <w:pPr>
        <w:pStyle w:val="SourceCode"/>
      </w:pPr>
      <w:r>
        <w:rPr>
          <w:rStyle w:val="VerbatimChar"/>
        </w:rPr>
        <w:t xml:space="preserve">30 Tage nach Vertragsende</w:t>
      </w:r>
    </w:p>
    <w:p>
      <w:pPr>
        <w:pStyle w:val="FirstParagraph"/>
      </w:pPr>
      <w:r>
        <w:t xml:space="preserve">Anwaltlich und kommerziell zu bestätigen.</w:t>
      </w:r>
    </w:p>
    <w:bookmarkEnd w:id="87"/>
    <w:bookmarkStart w:id="88" w:name="nach-exportfrist"/>
    <w:p>
      <w:pPr>
        <w:pStyle w:val="Heading2"/>
      </w:pPr>
      <w:r>
        <w:t xml:space="preserve">18.4 Nach Exportfrist</w:t>
      </w:r>
    </w:p>
    <w:p>
      <w:pPr>
        <w:pStyle w:val="Compact"/>
        <w:numPr>
          <w:ilvl w:val="0"/>
          <w:numId w:val="1051"/>
        </w:numPr>
      </w:pPr>
      <w:r>
        <w:t xml:space="preserve">aktive Zugänge deaktivieren;</w:t>
      </w:r>
    </w:p>
    <w:p>
      <w:pPr>
        <w:pStyle w:val="Compact"/>
        <w:numPr>
          <w:ilvl w:val="0"/>
          <w:numId w:val="1051"/>
        </w:numPr>
      </w:pPr>
      <w:r>
        <w:t xml:space="preserve">keine neue Punktebuchung;</w:t>
      </w:r>
    </w:p>
    <w:p>
      <w:pPr>
        <w:pStyle w:val="Compact"/>
        <w:numPr>
          <w:ilvl w:val="0"/>
          <w:numId w:val="1051"/>
        </w:numPr>
      </w:pPr>
      <w:r>
        <w:t xml:space="preserve">keine neue Reward-Einlösung;</w:t>
      </w:r>
    </w:p>
    <w:p>
      <w:pPr>
        <w:pStyle w:val="Compact"/>
        <w:numPr>
          <w:ilvl w:val="0"/>
          <w:numId w:val="1051"/>
        </w:numPr>
      </w:pPr>
      <w:r>
        <w:t xml:space="preserve">Kundendaten nach Weisung löschen oder zurückgeben;</w:t>
      </w:r>
    </w:p>
    <w:p>
      <w:pPr>
        <w:pStyle w:val="Compact"/>
        <w:numPr>
          <w:ilvl w:val="0"/>
          <w:numId w:val="1051"/>
        </w:numPr>
      </w:pPr>
      <w:r>
        <w:t xml:space="preserve">gesetzlich erforderliche Vertrags- und Abrechnungsdaten behalten;</w:t>
      </w:r>
    </w:p>
    <w:p>
      <w:pPr>
        <w:pStyle w:val="Compact"/>
        <w:numPr>
          <w:ilvl w:val="0"/>
          <w:numId w:val="1051"/>
        </w:numPr>
      </w:pPr>
      <w:r>
        <w:t xml:space="preserve">Löschabschluss dokumentieren.</w:t>
      </w:r>
    </w:p>
    <w:bookmarkEnd w:id="88"/>
    <w:bookmarkStart w:id="89" w:name="keine-zurückbehaltung-als-druckmittel"/>
    <w:p>
      <w:pPr>
        <w:pStyle w:val="Heading2"/>
      </w:pPr>
      <w:r>
        <w:t xml:space="preserve">18.5 Keine Zurückbehaltung als Druckmittel</w:t>
      </w:r>
    </w:p>
    <w:p>
      <w:pPr>
        <w:pStyle w:val="FirstParagraph"/>
      </w:pPr>
      <w:r>
        <w:t xml:space="preserve">Gastdaten dürfen nicht allein deshalb zurückbehalten werden, weil eine Rechnung des Restaurants offen ist, sofern hierfür keine tragfähige rechtliche Grundlage besteht.</w:t>
      </w:r>
    </w:p>
    <w:p>
      <w:pPr>
        <w:pStyle w:val="BodyText"/>
      </w:pPr>
      <w:r>
        <w:t xml:space="preserve">Vertragssperre und datenschutzrechtliche Löschpflicht sind getrennt zu behandeln.</w:t>
      </w:r>
    </w:p>
    <w:p>
      <w:r>
        <w:pict>
          <v:rect style="width:0;height:1.5pt" o:hralign="center" o:hrstd="t" o:hr="t"/>
        </w:pict>
      </w:r>
    </w:p>
    <w:bookmarkEnd w:id="89"/>
    <w:bookmarkEnd w:id="90"/>
    <w:bookmarkStart w:id="91" w:name="restaurantwechsel-und-programmwechsel"/>
    <w:p>
      <w:pPr>
        <w:pStyle w:val="Heading1"/>
      </w:pPr>
      <w:r>
        <w:t xml:space="preserve">19. Restaurantwechsel und Programmwechsel</w:t>
      </w:r>
    </w:p>
    <w:p>
      <w:pPr>
        <w:pStyle w:val="FirstParagraph"/>
      </w:pPr>
      <w:r>
        <w:t xml:space="preserve">Wenn ein Restaurant seinen Rechtsträger wechselt:</w:t>
      </w:r>
    </w:p>
    <w:p>
      <w:pPr>
        <w:pStyle w:val="Compact"/>
        <w:numPr>
          <w:ilvl w:val="0"/>
          <w:numId w:val="1052"/>
        </w:numPr>
      </w:pPr>
      <w:r>
        <w:t xml:space="preserve">keine automatische Übertragung der Verantwortlichkeit;</w:t>
      </w:r>
    </w:p>
    <w:p>
      <w:pPr>
        <w:pStyle w:val="Compact"/>
        <w:numPr>
          <w:ilvl w:val="0"/>
          <w:numId w:val="1052"/>
        </w:numPr>
      </w:pPr>
      <w:r>
        <w:t xml:space="preserve">Rechtsgrundlage prüfen;</w:t>
      </w:r>
    </w:p>
    <w:p>
      <w:pPr>
        <w:pStyle w:val="Compact"/>
        <w:numPr>
          <w:ilvl w:val="0"/>
          <w:numId w:val="1052"/>
        </w:numPr>
      </w:pPr>
      <w:r>
        <w:t xml:space="preserve">Gäste informieren;</w:t>
      </w:r>
    </w:p>
    <w:p>
      <w:pPr>
        <w:pStyle w:val="Compact"/>
        <w:numPr>
          <w:ilvl w:val="0"/>
          <w:numId w:val="1052"/>
        </w:numPr>
      </w:pPr>
      <w:r>
        <w:t xml:space="preserve">neue Teilnahmebedingungen bereitstellen;</w:t>
      </w:r>
    </w:p>
    <w:p>
      <w:pPr>
        <w:pStyle w:val="Compact"/>
        <w:numPr>
          <w:ilvl w:val="0"/>
          <w:numId w:val="1052"/>
        </w:numPr>
      </w:pPr>
      <w:r>
        <w:t xml:space="preserve">neue Datenschutzinformation bereitstellen;</w:t>
      </w:r>
    </w:p>
    <w:p>
      <w:pPr>
        <w:pStyle w:val="Compact"/>
        <w:numPr>
          <w:ilvl w:val="0"/>
          <w:numId w:val="1052"/>
        </w:numPr>
      </w:pPr>
      <w:r>
        <w:t xml:space="preserve">gegebenenfalls neue Annahme einholen;</w:t>
      </w:r>
    </w:p>
    <w:p>
      <w:pPr>
        <w:pStyle w:val="Compact"/>
        <w:numPr>
          <w:ilvl w:val="0"/>
          <w:numId w:val="1052"/>
        </w:numPr>
      </w:pPr>
      <w:r>
        <w:t xml:space="preserve">Marketingconsents nicht automatisch übertragen;</w:t>
      </w:r>
    </w:p>
    <w:p>
      <w:pPr>
        <w:pStyle w:val="Compact"/>
        <w:numPr>
          <w:ilvl w:val="0"/>
          <w:numId w:val="1052"/>
        </w:numPr>
      </w:pPr>
      <w:r>
        <w:t xml:space="preserve">Datenübertragung dokumentieren.</w:t>
      </w:r>
    </w:p>
    <w:p>
      <w:pPr>
        <w:pStyle w:val="FirstParagraph"/>
      </w:pPr>
      <w:r>
        <w:t xml:space="preserve">Bei bloßer Marken- oder Filialänderung ist zu prüfen, ob derselbe Rechtsträger bestehen bleibt.</w:t>
      </w:r>
    </w:p>
    <w:p>
      <w:r>
        <w:pict>
          <v:rect style="width:0;height:1.5pt" o:hralign="center" o:hrstd="t" o:hr="t"/>
        </w:pict>
      </w:r>
    </w:p>
    <w:bookmarkEnd w:id="91"/>
    <w:bookmarkStart w:id="92" w:name="datenaufbewahrungsmatrix"/>
    <w:p>
      <w:pPr>
        <w:pStyle w:val="Heading1"/>
      </w:pPr>
      <w:r>
        <w:t xml:space="preserve">20. Datenaufbewahrungsmatrix</w:t>
      </w:r>
    </w:p>
    <w:p>
      <w:pPr>
        <w:pStyle w:val="FirstParagraph"/>
      </w:pPr>
      <w:r>
        <w:t xml:space="preserve">Vorläufige Soll-Matrix: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Datenkategorie</w:t>
            </w:r>
          </w:p>
        </w:tc>
        <w:tc>
          <w:tcPr/>
          <w:p>
            <w:pPr>
              <w:pStyle w:val="Compact"/>
            </w:pPr>
            <w:r>
              <w:t xml:space="preserve">Aktive Speicherung</w:t>
            </w:r>
          </w:p>
        </w:tc>
        <w:tc>
          <w:tcPr/>
          <w:p>
            <w:pPr>
              <w:pStyle w:val="Compact"/>
            </w:pPr>
            <w:r>
              <w:t xml:space="preserve">Danach</w:t>
            </w:r>
          </w:p>
        </w:tc>
        <w:tc>
          <w:tcPr/>
          <w:p>
            <w:pPr>
              <w:pStyle w:val="Compact"/>
            </w:pPr>
            <w:r>
              <w:t xml:space="preserve">Endgültige Frist</w:t>
            </w:r>
          </w:p>
        </w:tc>
      </w:tr>
      <w:tr>
        <w:tc>
          <w:tcPr/>
          <w:p>
            <w:pPr>
              <w:pStyle w:val="Compact"/>
            </w:pPr>
            <w:r>
              <w:t xml:space="preserve">Gastprofil</w:t>
            </w:r>
          </w:p>
        </w:tc>
        <w:tc>
          <w:tcPr/>
          <w:p>
            <w:pPr>
              <w:pStyle w:val="Compact"/>
            </w:pPr>
            <w:r>
              <w:t xml:space="preserve">Dauer der Teilnahme</w:t>
            </w:r>
          </w:p>
        </w:tc>
        <w:tc>
          <w:tcPr/>
          <w:p>
            <w:pPr>
              <w:pStyle w:val="Compact"/>
            </w:pPr>
            <w:r>
              <w:t xml:space="preserve">Löschung/Anonymisierung</w:t>
            </w:r>
          </w:p>
        </w:tc>
        <w:tc>
          <w:tcPr/>
          <w:p>
            <w:pPr>
              <w:pStyle w:val="Compact"/>
            </w:pPr>
            <w:r>
              <w:t xml:space="preserve">nach Austritt und Prüfung</w:t>
            </w:r>
          </w:p>
        </w:tc>
      </w:tr>
      <w:tr>
        <w:tc>
          <w:tcPr/>
          <w:p>
            <w:pPr>
              <w:pStyle w:val="Compact"/>
            </w:pPr>
            <w:r>
              <w:t xml:space="preserve">Punktestand</w:t>
            </w:r>
          </w:p>
        </w:tc>
        <w:tc>
          <w:tcPr/>
          <w:p>
            <w:pPr>
              <w:pStyle w:val="Compact"/>
            </w:pPr>
            <w:r>
              <w:t xml:space="preserve">Dauer der Teilnahme</w:t>
            </w:r>
          </w:p>
        </w:tc>
        <w:tc>
          <w:tcPr/>
          <w:p>
            <w:pPr>
              <w:pStyle w:val="Compact"/>
            </w:pPr>
            <w:r>
              <w:t xml:space="preserve">Löschung/Anonymisierung</w:t>
            </w:r>
          </w:p>
        </w:tc>
        <w:tc>
          <w:tcPr/>
          <w:p>
            <w:pPr>
              <w:pStyle w:val="Compact"/>
            </w:pPr>
            <w:r>
              <w:t xml:space="preserve">nach Programmende</w:t>
            </w:r>
          </w:p>
        </w:tc>
      </w:tr>
      <w:tr>
        <w:tc>
          <w:tcPr/>
          <w:p>
            <w:pPr>
              <w:pStyle w:val="Compact"/>
            </w:pPr>
            <w:r>
              <w:t xml:space="preserve">Punktebuchungen</w:t>
            </w:r>
          </w:p>
        </w:tc>
        <w:tc>
          <w:tcPr/>
          <w:p>
            <w:pPr>
              <w:pStyle w:val="Compact"/>
            </w:pPr>
            <w:r>
              <w:t xml:space="preserve">Dauer der Teilnahme</w:t>
            </w:r>
          </w:p>
        </w:tc>
        <w:tc>
          <w:tcPr/>
          <w:p>
            <w:pPr>
              <w:pStyle w:val="Compact"/>
            </w:pPr>
            <w:r>
              <w:t xml:space="preserve">begrenzte Streitfrist</w:t>
            </w:r>
          </w:p>
        </w:tc>
        <w:tc>
          <w:tcPr/>
          <w:p>
            <w:pPr>
              <w:pStyle w:val="Compact"/>
            </w:pPr>
            <w:r>
              <w:t xml:space="preserve">anwaltlich festlegen</w:t>
            </w:r>
          </w:p>
        </w:tc>
      </w:tr>
      <w:tr>
        <w:tc>
          <w:tcPr/>
          <w:p>
            <w:pPr>
              <w:pStyle w:val="Compact"/>
            </w:pPr>
            <w:r>
              <w:t xml:space="preserve">Reward-Einlösungen</w:t>
            </w:r>
          </w:p>
        </w:tc>
        <w:tc>
          <w:tcPr/>
          <w:p>
            <w:pPr>
              <w:pStyle w:val="Compact"/>
            </w:pPr>
            <w:r>
              <w:t xml:space="preserve">Dauer der Teilnahme</w:t>
            </w:r>
          </w:p>
        </w:tc>
        <w:tc>
          <w:tcPr/>
          <w:p>
            <w:pPr>
              <w:pStyle w:val="Compact"/>
            </w:pPr>
            <w:r>
              <w:t xml:space="preserve">begrenzte Nachweisfrist</w:t>
            </w:r>
          </w:p>
        </w:tc>
        <w:tc>
          <w:tcPr/>
          <w:p>
            <w:pPr>
              <w:pStyle w:val="Compact"/>
            </w:pPr>
            <w:r>
              <w:t xml:space="preserve">anwaltlich/steuerlich festlegen</w:t>
            </w:r>
          </w:p>
        </w:tc>
      </w:tr>
      <w:tr>
        <w:tc>
          <w:tcPr/>
          <w:p>
            <w:pPr>
              <w:pStyle w:val="Compact"/>
            </w:pPr>
            <w:r>
              <w:t xml:space="preserve">Consents</w:t>
            </w:r>
          </w:p>
        </w:tc>
        <w:tc>
          <w:tcPr/>
          <w:p>
            <w:pPr>
              <w:pStyle w:val="Compact"/>
            </w:pPr>
            <w:r>
              <w:t xml:space="preserve">aktive Einwilligung</w:t>
            </w:r>
          </w:p>
        </w:tc>
        <w:tc>
          <w:tcPr/>
          <w:p>
            <w:pPr>
              <w:pStyle w:val="Compact"/>
            </w:pPr>
            <w:r>
              <w:t xml:space="preserve">Nachweis nach Widerruf</w:t>
            </w:r>
          </w:p>
        </w:tc>
        <w:tc>
          <w:tcPr/>
          <w:p>
            <w:pPr>
              <w:pStyle w:val="Compact"/>
            </w:pPr>
            <w:r>
              <w:t xml:space="preserve">anwaltlich festlegen</w:t>
            </w:r>
          </w:p>
        </w:tc>
      </w:tr>
      <w:tr>
        <w:tc>
          <w:tcPr/>
          <w:p>
            <w:pPr>
              <w:pStyle w:val="Compact"/>
            </w:pPr>
            <w:r>
              <w:t xml:space="preserve">Suppression</w:t>
            </w:r>
          </w:p>
        </w:tc>
        <w:tc>
          <w:tcPr/>
          <w:p>
            <w:pPr>
              <w:pStyle w:val="Compact"/>
            </w:pPr>
            <w:r>
              <w:t xml:space="preserve">nach Widerruf</w:t>
            </w:r>
          </w:p>
        </w:tc>
        <w:tc>
          <w:tcPr/>
          <w:p>
            <w:pPr>
              <w:pStyle w:val="Compact"/>
            </w:pPr>
            <w:r>
              <w:t xml:space="preserve">minimierter Sperreintrag</w:t>
            </w:r>
          </w:p>
        </w:tc>
        <w:tc>
          <w:tcPr/>
          <w:p>
            <w:pPr>
              <w:pStyle w:val="Compact"/>
            </w:pPr>
            <w:r>
              <w:t xml:space="preserve">solange Versandverbot nachzuweisen</w:t>
            </w:r>
          </w:p>
        </w:tc>
      </w:tr>
      <w:tr>
        <w:tc>
          <w:tcPr/>
          <w:p>
            <w:pPr>
              <w:pStyle w:val="Compact"/>
            </w:pPr>
            <w:r>
              <w:t xml:space="preserve">Legal-Acceptances</w:t>
            </w:r>
          </w:p>
        </w:tc>
        <w:tc>
          <w:tcPr/>
          <w:p>
            <w:pPr>
              <w:pStyle w:val="Compact"/>
            </w:pPr>
            <w:r>
              <w:t xml:space="preserve">Dauer der Teilnahme</w:t>
            </w:r>
          </w:p>
        </w:tc>
        <w:tc>
          <w:tcPr/>
          <w:p>
            <w:pPr>
              <w:pStyle w:val="Compact"/>
            </w:pPr>
            <w:r>
              <w:t xml:space="preserve">Nachweis-/Verjährungsfrist</w:t>
            </w:r>
          </w:p>
        </w:tc>
        <w:tc>
          <w:tcPr/>
          <w:p>
            <w:pPr>
              <w:pStyle w:val="Compact"/>
            </w:pPr>
            <w:r>
              <w:t xml:space="preserve">anwaltlich festlegen</w:t>
            </w:r>
          </w:p>
        </w:tc>
      </w:tr>
      <w:tr>
        <w:tc>
          <w:tcPr/>
          <w:p>
            <w:pPr>
              <w:pStyle w:val="Compact"/>
            </w:pPr>
            <w:r>
              <w:t xml:space="preserve">Supportfälle</w:t>
            </w:r>
          </w:p>
        </w:tc>
        <w:tc>
          <w:tcPr/>
          <w:p>
            <w:pPr>
              <w:pStyle w:val="Compact"/>
            </w:pPr>
            <w:r>
              <w:t xml:space="preserve">Dauer des Falls</w:t>
            </w:r>
          </w:p>
        </w:tc>
        <w:tc>
          <w:tcPr/>
          <w:p>
            <w:pPr>
              <w:pStyle w:val="Compact"/>
            </w:pPr>
            <w:r>
              <w:t xml:space="preserve">begrenzte Nachweisfrist</w:t>
            </w:r>
          </w:p>
        </w:tc>
        <w:tc>
          <w:tcPr/>
          <w:p>
            <w:pPr>
              <w:pStyle w:val="Compact"/>
            </w:pPr>
            <w:r>
              <w:t xml:space="preserve">nach Fallart</w:t>
            </w:r>
          </w:p>
        </w:tc>
      </w:tr>
      <w:tr>
        <w:tc>
          <w:tcPr/>
          <w:p>
            <w:pPr>
              <w:pStyle w:val="Compact"/>
            </w:pPr>
            <w:r>
              <w:t xml:space="preserve">Sicherheitslogs</w:t>
            </w:r>
          </w:p>
        </w:tc>
        <w:tc>
          <w:tcPr/>
          <w:p>
            <w:pPr>
              <w:pStyle w:val="Compact"/>
            </w:pPr>
            <w:r>
              <w:t xml:space="preserve">operative Sicherheitsfrist</w:t>
            </w:r>
          </w:p>
        </w:tc>
        <w:tc>
          <w:tcPr/>
          <w:p>
            <w:pPr>
              <w:pStyle w:val="Compact"/>
            </w:pPr>
            <w:r>
              <w:t xml:space="preserve">Rotation</w:t>
            </w:r>
          </w:p>
        </w:tc>
        <w:tc>
          <w:tcPr/>
          <w:p>
            <w:pPr>
              <w:pStyle w:val="Compact"/>
            </w:pPr>
            <w:r>
              <w:t xml:space="preserve">nach Risikokonzept</w:t>
            </w:r>
          </w:p>
        </w:tc>
      </w:tr>
      <w:tr>
        <w:tc>
          <w:tcPr/>
          <w:p>
            <w:pPr>
              <w:pStyle w:val="Compact"/>
            </w:pPr>
            <w:r>
              <w:t xml:space="preserve">Exportdateien</w:t>
            </w:r>
          </w:p>
        </w:tc>
        <w:tc>
          <w:tcPr/>
          <w:p>
            <w:pPr>
              <w:pStyle w:val="Compact"/>
            </w:pPr>
            <w:r>
              <w:t xml:space="preserve">bis Abruf/Ablauf</w:t>
            </w:r>
          </w:p>
        </w:tc>
        <w:tc>
          <w:tcPr/>
          <w:p>
            <w:pPr>
              <w:pStyle w:val="Compact"/>
            </w:pPr>
            <w:r>
              <w:t xml:space="preserve">automatische Löschung</w:t>
            </w:r>
          </w:p>
        </w:tc>
        <w:tc>
          <w:tcPr/>
          <w:p>
            <w:pPr>
              <w:pStyle w:val="Compact"/>
            </w:pPr>
            <w:r>
              <w:t xml:space="preserve">z. B. 72 Stunden</w:t>
            </w:r>
          </w:p>
        </w:tc>
      </w:tr>
      <w:tr>
        <w:tc>
          <w:tcPr/>
          <w:p>
            <w:pPr>
              <w:pStyle w:val="Compact"/>
            </w:pPr>
            <w:r>
              <w:t xml:space="preserve">Löschprotokoll</w:t>
            </w:r>
          </w:p>
        </w:tc>
        <w:tc>
          <w:tcPr/>
          <w:p>
            <w:pPr>
              <w:pStyle w:val="Compact"/>
            </w:pPr>
            <w:r>
              <w:t xml:space="preserve">nach Abschluss</w:t>
            </w:r>
          </w:p>
        </w:tc>
        <w:tc>
          <w:tcPr/>
          <w:p>
            <w:pPr>
              <w:pStyle w:val="Compact"/>
            </w:pPr>
            <w:r>
              <w:t xml:space="preserve">minimierter Nachweis</w:t>
            </w:r>
          </w:p>
        </w:tc>
        <w:tc>
          <w:tcPr/>
          <w:p>
            <w:pPr>
              <w:pStyle w:val="Compact"/>
            </w:pPr>
            <w:r>
              <w:t xml:space="preserve">anwaltlich festlegen</w:t>
            </w:r>
          </w:p>
        </w:tc>
      </w:tr>
      <w:tr>
        <w:tc>
          <w:tcPr/>
          <w:p>
            <w:pPr>
              <w:pStyle w:val="Compact"/>
            </w:pPr>
            <w:r>
              <w:t xml:space="preserve">Rechnungen</w:t>
            </w:r>
          </w:p>
        </w:tc>
        <w:tc>
          <w:tcPr/>
          <w:p>
            <w:pPr>
              <w:pStyle w:val="Compact"/>
            </w:pPr>
            <w:r>
              <w:t xml:space="preserve">Vertragsdauer</w:t>
            </w:r>
          </w:p>
        </w:tc>
        <w:tc>
          <w:tcPr/>
          <w:p>
            <w:pPr>
              <w:pStyle w:val="Compact"/>
            </w:pPr>
            <w:r>
              <w:t xml:space="preserve">gesetzliche Aufbewahrung</w:t>
            </w:r>
          </w:p>
        </w:tc>
        <w:tc>
          <w:tcPr/>
          <w:p>
            <w:pPr>
              <w:pStyle w:val="Compact"/>
            </w:pPr>
            <w:r>
              <w:t xml:space="preserve">regelmäßig sieben Jahre</w:t>
            </w:r>
          </w:p>
        </w:tc>
      </w:tr>
      <w:tr>
        <w:tc>
          <w:tcPr/>
          <w:p>
            <w:pPr>
              <w:pStyle w:val="Compact"/>
            </w:pPr>
            <w:r>
              <w:t xml:space="preserve">Vertragsdokumente</w:t>
            </w:r>
          </w:p>
        </w:tc>
        <w:tc>
          <w:tcPr/>
          <w:p>
            <w:pPr>
              <w:pStyle w:val="Compact"/>
            </w:pPr>
            <w:r>
              <w:t xml:space="preserve">Vertragsdauer</w:t>
            </w:r>
          </w:p>
        </w:tc>
        <w:tc>
          <w:tcPr/>
          <w:p>
            <w:pPr>
              <w:pStyle w:val="Compact"/>
            </w:pPr>
            <w:r>
              <w:t xml:space="preserve">Aufbewahrung/Rechtsansprüche</w:t>
            </w:r>
          </w:p>
        </w:tc>
        <w:tc>
          <w:tcPr/>
          <w:p>
            <w:pPr>
              <w:pStyle w:val="Compact"/>
            </w:pPr>
            <w:r>
              <w:t xml:space="preserve">anwaltlich festlegen</w:t>
            </w:r>
          </w:p>
        </w:tc>
      </w:tr>
      <w:tr>
        <w:tc>
          <w:tcPr/>
          <w:p>
            <w:pPr>
              <w:pStyle w:val="Compact"/>
            </w:pPr>
            <w:r>
              <w:t xml:space="preserve">Backups</w:t>
            </w:r>
          </w:p>
        </w:tc>
        <w:tc>
          <w:tcPr/>
          <w:p>
            <w:pPr>
              <w:pStyle w:val="Compact"/>
            </w:pPr>
            <w:r>
              <w:t xml:space="preserve">Rotationszeit</w:t>
            </w:r>
          </w:p>
        </w:tc>
        <w:tc>
          <w:tcPr/>
          <w:p>
            <w:pPr>
              <w:pStyle w:val="Compact"/>
            </w:pPr>
            <w:r>
              <w:t xml:space="preserve">automatische Überschreibung</w:t>
            </w:r>
          </w:p>
        </w:tc>
        <w:tc>
          <w:tcPr/>
          <w:p>
            <w:pPr>
              <w:pStyle w:val="Compact"/>
            </w:pPr>
            <w:r>
              <w:t xml:space="preserve">nach Backupkonzept</w:t>
            </w:r>
          </w:p>
        </w:tc>
      </w:tr>
    </w:tbl>
    <w:p>
      <w:pPr>
        <w:pStyle w:val="BodyText"/>
      </w:pPr>
      <w:r>
        <w:t xml:space="preserve">Die konkrete Matrix wird durch Rechtsanwalt, Steuerberater und technische Sicherheitsprüfung finalisiert.</w:t>
      </w:r>
    </w:p>
    <w:p>
      <w:r>
        <w:pict>
          <v:rect style="width:0;height:1.5pt" o:hralign="center" o:hrstd="t" o:hr="t"/>
        </w:pict>
      </w:r>
    </w:p>
    <w:bookmarkEnd w:id="92"/>
    <w:bookmarkStart w:id="94" w:name="datenmodell-für-datenschutzanfragen"/>
    <w:p>
      <w:pPr>
        <w:pStyle w:val="Heading1"/>
      </w:pPr>
      <w:r>
        <w:t xml:space="preserve">21. Datenmodell für Datenschutzanfragen</w:t>
      </w:r>
    </w:p>
    <w:p>
      <w:pPr>
        <w:pStyle w:val="SourceCode"/>
      </w:pPr>
      <w:r>
        <w:rPr>
          <w:rStyle w:val="VerbatimChar"/>
        </w:rPr>
        <w:t xml:space="preserve">privacy_request_id</w:t>
      </w:r>
      <w:r>
        <w:br/>
      </w:r>
      <w:r>
        <w:rPr>
          <w:rStyle w:val="VerbatimChar"/>
        </w:rPr>
        <w:t xml:space="preserve">request_type</w:t>
      </w:r>
      <w:r>
        <w:br/>
      </w:r>
      <w:r>
        <w:rPr>
          <w:rStyle w:val="VerbatimChar"/>
        </w:rPr>
        <w:t xml:space="preserve">request_scope</w:t>
      </w:r>
      <w:r>
        <w:br/>
      </w:r>
      <w:r>
        <w:rPr>
          <w:rStyle w:val="VerbatimChar"/>
        </w:rPr>
        <w:t xml:space="preserve">customer_id</w:t>
      </w:r>
      <w:r>
        <w:br/>
      </w:r>
      <w:r>
        <w:rPr>
          <w:rStyle w:val="VerbatimChar"/>
        </w:rPr>
        <w:t xml:space="preserve">requester_contact</w:t>
      </w:r>
      <w:r>
        <w:br/>
      </w:r>
      <w:r>
        <w:rPr>
          <w:rStyle w:val="VerbatimChar"/>
        </w:rPr>
        <w:t xml:space="preserve">restaurant_id</w:t>
      </w:r>
      <w:r>
        <w:br/>
      </w:r>
      <w:r>
        <w:rPr>
          <w:rStyle w:val="VerbatimChar"/>
        </w:rPr>
        <w:t xml:space="preserve">controller_type</w:t>
      </w:r>
      <w:r>
        <w:br/>
      </w:r>
      <w:r>
        <w:rPr>
          <w:rStyle w:val="VerbatimChar"/>
        </w:rPr>
        <w:t xml:space="preserve">controller_id</w:t>
      </w:r>
      <w:r>
        <w:br/>
      </w:r>
      <w:r>
        <w:rPr>
          <w:rStyle w:val="VerbatimChar"/>
        </w:rPr>
        <w:t xml:space="preserve">source</w:t>
      </w:r>
      <w:r>
        <w:br/>
      </w:r>
      <w:r>
        <w:rPr>
          <w:rStyle w:val="VerbatimChar"/>
        </w:rPr>
        <w:t xml:space="preserve">language</w:t>
      </w:r>
      <w:r>
        <w:br/>
      </w:r>
      <w:r>
        <w:rPr>
          <w:rStyle w:val="VerbatimChar"/>
        </w:rPr>
        <w:t xml:space="preserve">status</w:t>
      </w:r>
      <w:r>
        <w:br/>
      </w:r>
      <w:r>
        <w:rPr>
          <w:rStyle w:val="VerbatimChar"/>
        </w:rPr>
        <w:t xml:space="preserve">submitted_at</w:t>
      </w:r>
      <w:r>
        <w:br/>
      </w:r>
      <w:r>
        <w:rPr>
          <w:rStyle w:val="VerbatimChar"/>
        </w:rPr>
        <w:t xml:space="preserve">identity_status</w:t>
      </w:r>
      <w:r>
        <w:br/>
      </w:r>
      <w:r>
        <w:rPr>
          <w:rStyle w:val="VerbatimChar"/>
        </w:rPr>
        <w:t xml:space="preserve">identity_verified_at</w:t>
      </w:r>
      <w:r>
        <w:br/>
      </w:r>
      <w:r>
        <w:rPr>
          <w:rStyle w:val="VerbatimChar"/>
        </w:rPr>
        <w:t xml:space="preserve">assigned_to</w:t>
      </w:r>
      <w:r>
        <w:br/>
      </w:r>
      <w:r>
        <w:rPr>
          <w:rStyle w:val="VerbatimChar"/>
        </w:rPr>
        <w:t xml:space="preserve">due_at</w:t>
      </w:r>
      <w:r>
        <w:br/>
      </w:r>
      <w:r>
        <w:rPr>
          <w:rStyle w:val="VerbatimChar"/>
        </w:rPr>
        <w:t xml:space="preserve">extended_due_at</w:t>
      </w:r>
      <w:r>
        <w:br/>
      </w:r>
      <w:r>
        <w:rPr>
          <w:rStyle w:val="VerbatimChar"/>
        </w:rPr>
        <w:t xml:space="preserve">extension_reason</w:t>
      </w:r>
      <w:r>
        <w:br/>
      </w:r>
      <w:r>
        <w:rPr>
          <w:rStyle w:val="VerbatimChar"/>
        </w:rPr>
        <w:t xml:space="preserve">restriction_applied_at</w:t>
      </w:r>
      <w:r>
        <w:br/>
      </w:r>
      <w:r>
        <w:rPr>
          <w:rStyle w:val="VerbatimChar"/>
        </w:rPr>
        <w:t xml:space="preserve">decision</w:t>
      </w:r>
      <w:r>
        <w:br/>
      </w:r>
      <w:r>
        <w:rPr>
          <w:rStyle w:val="VerbatimChar"/>
        </w:rPr>
        <w:t xml:space="preserve">decision_reason</w:t>
      </w:r>
      <w:r>
        <w:br/>
      </w:r>
      <w:r>
        <w:rPr>
          <w:rStyle w:val="VerbatimChar"/>
        </w:rPr>
        <w:t xml:space="preserve">approved_at</w:t>
      </w:r>
      <w:r>
        <w:br/>
      </w:r>
      <w:r>
        <w:rPr>
          <w:rStyle w:val="VerbatimChar"/>
        </w:rPr>
        <w:t xml:space="preserve">export_created_at</w:t>
      </w:r>
      <w:r>
        <w:br/>
      </w:r>
      <w:r>
        <w:rPr>
          <w:rStyle w:val="VerbatimChar"/>
        </w:rPr>
        <w:t xml:space="preserve">export_expires_at</w:t>
      </w:r>
      <w:r>
        <w:br/>
      </w:r>
      <w:r>
        <w:rPr>
          <w:rStyle w:val="VerbatimChar"/>
        </w:rPr>
        <w:t xml:space="preserve">deletion_scheduled_at</w:t>
      </w:r>
      <w:r>
        <w:br/>
      </w:r>
      <w:r>
        <w:rPr>
          <w:rStyle w:val="VerbatimChar"/>
        </w:rPr>
        <w:t xml:space="preserve">deletion_executed_at</w:t>
      </w:r>
      <w:r>
        <w:br/>
      </w:r>
      <w:r>
        <w:rPr>
          <w:rStyle w:val="VerbatimChar"/>
        </w:rPr>
        <w:t xml:space="preserve">completed_at</w:t>
      </w:r>
      <w:r>
        <w:br/>
      </w:r>
      <w:r>
        <w:rPr>
          <w:rStyle w:val="VerbatimChar"/>
        </w:rPr>
        <w:t xml:space="preserve">legal_hold_status</w:t>
      </w:r>
      <w:r>
        <w:br/>
      </w:r>
      <w:r>
        <w:rPr>
          <w:rStyle w:val="VerbatimChar"/>
        </w:rPr>
        <w:t xml:space="preserve">audit_reference</w:t>
      </w:r>
    </w:p>
    <w:bookmarkStart w:id="93" w:name="verbotene-speicherung"/>
    <w:p>
      <w:pPr>
        <w:pStyle w:val="Heading2"/>
      </w:pPr>
      <w:r>
        <w:t xml:space="preserve">Verbotene Speicherung</w:t>
      </w:r>
    </w:p>
    <w:p>
      <w:pPr>
        <w:pStyle w:val="FirstParagraph"/>
      </w:pPr>
      <w:r>
        <w:t xml:space="preserve">Kein unnötiger Freitext mit:</w:t>
      </w:r>
    </w:p>
    <w:p>
      <w:pPr>
        <w:pStyle w:val="Compact"/>
        <w:numPr>
          <w:ilvl w:val="0"/>
          <w:numId w:val="1053"/>
        </w:numPr>
      </w:pPr>
      <w:r>
        <w:t xml:space="preserve">Ausweiskopien;</w:t>
      </w:r>
    </w:p>
    <w:p>
      <w:pPr>
        <w:pStyle w:val="Compact"/>
        <w:numPr>
          <w:ilvl w:val="0"/>
          <w:numId w:val="1053"/>
        </w:numPr>
      </w:pPr>
      <w:r>
        <w:t xml:space="preserve">Gesundheitsdaten;</w:t>
      </w:r>
    </w:p>
    <w:p>
      <w:pPr>
        <w:pStyle w:val="Compact"/>
        <w:numPr>
          <w:ilvl w:val="0"/>
          <w:numId w:val="1053"/>
        </w:numPr>
      </w:pPr>
      <w:r>
        <w:t xml:space="preserve">Zahlungsdaten;</w:t>
      </w:r>
    </w:p>
    <w:p>
      <w:pPr>
        <w:pStyle w:val="Compact"/>
        <w:numPr>
          <w:ilvl w:val="0"/>
          <w:numId w:val="1053"/>
        </w:numPr>
      </w:pPr>
      <w:r>
        <w:t xml:space="preserve">privaten Informationen;</w:t>
      </w:r>
    </w:p>
    <w:p>
      <w:pPr>
        <w:pStyle w:val="Compact"/>
        <w:numPr>
          <w:ilvl w:val="0"/>
          <w:numId w:val="1053"/>
        </w:numPr>
      </w:pPr>
      <w:r>
        <w:t xml:space="preserve">unstrukturierten sensiblen Dokumenten.</w:t>
      </w:r>
    </w:p>
    <w:p>
      <w:pPr>
        <w:pStyle w:val="FirstParagraph"/>
      </w:pPr>
      <w:r>
        <w:t xml:space="preserve">Anhänge nur, wenn erforderlich, geschützt und mit eigener Löschfrist.</w:t>
      </w:r>
    </w:p>
    <w:p>
      <w:r>
        <w:pict>
          <v:rect style="width:0;height:1.5pt" o:hralign="center" o:hrstd="t" o:hr="t"/>
        </w:pict>
      </w:r>
    </w:p>
    <w:bookmarkEnd w:id="93"/>
    <w:bookmarkEnd w:id="94"/>
    <w:bookmarkStart w:id="95" w:name="audit-ereignisse"/>
    <w:p>
      <w:pPr>
        <w:pStyle w:val="Heading1"/>
      </w:pPr>
      <w:r>
        <w:t xml:space="preserve">22. Audit-Ereignisse</w:t>
      </w:r>
    </w:p>
    <w:p>
      <w:pPr>
        <w:pStyle w:val="SourceCode"/>
      </w:pPr>
      <w:r>
        <w:rPr>
          <w:rStyle w:val="VerbatimChar"/>
        </w:rPr>
        <w:t xml:space="preserve">PRIVACY_REQUEST_RECEIVED</w:t>
      </w:r>
      <w:r>
        <w:br/>
      </w:r>
      <w:r>
        <w:rPr>
          <w:rStyle w:val="VerbatimChar"/>
        </w:rPr>
        <w:t xml:space="preserve">IDENTITY_VERIFICATION_REQUESTED</w:t>
      </w:r>
      <w:r>
        <w:br/>
      </w:r>
      <w:r>
        <w:rPr>
          <w:rStyle w:val="VerbatimChar"/>
        </w:rPr>
        <w:t xml:space="preserve">IDENTITY_VERIFIED</w:t>
      </w:r>
      <w:r>
        <w:br/>
      </w:r>
      <w:r>
        <w:rPr>
          <w:rStyle w:val="VerbatimChar"/>
        </w:rPr>
        <w:t xml:space="preserve">REQUEST_ASSIGNED</w:t>
      </w:r>
      <w:r>
        <w:br/>
      </w:r>
      <w:r>
        <w:rPr>
          <w:rStyle w:val="VerbatimChar"/>
        </w:rPr>
        <w:t xml:space="preserve">PROCESSING_RESTRICTED</w:t>
      </w:r>
      <w:r>
        <w:br/>
      </w:r>
      <w:r>
        <w:rPr>
          <w:rStyle w:val="VerbatimChar"/>
        </w:rPr>
        <w:t xml:space="preserve">EXPORT_GENERATED</w:t>
      </w:r>
      <w:r>
        <w:br/>
      </w:r>
      <w:r>
        <w:rPr>
          <w:rStyle w:val="VerbatimChar"/>
        </w:rPr>
        <w:t xml:space="preserve">EXPORT_DOWNLOADED</w:t>
      </w:r>
      <w:r>
        <w:br/>
      </w:r>
      <w:r>
        <w:rPr>
          <w:rStyle w:val="VerbatimChar"/>
        </w:rPr>
        <w:t xml:space="preserve">EXPORT_EXPIRED</w:t>
      </w:r>
      <w:r>
        <w:br/>
      </w:r>
      <w:r>
        <w:rPr>
          <w:rStyle w:val="VerbatimChar"/>
        </w:rPr>
        <w:t xml:space="preserve">DELETION_APPROVED</w:t>
      </w:r>
      <w:r>
        <w:br/>
      </w:r>
      <w:r>
        <w:rPr>
          <w:rStyle w:val="VerbatimChar"/>
        </w:rPr>
        <w:t xml:space="preserve">DELETION_STARTED</w:t>
      </w:r>
      <w:r>
        <w:br/>
      </w:r>
      <w:r>
        <w:rPr>
          <w:rStyle w:val="VerbatimChar"/>
        </w:rPr>
        <w:t xml:space="preserve">DELETION_COMPLETED</w:t>
      </w:r>
      <w:r>
        <w:br/>
      </w:r>
      <w:r>
        <w:rPr>
          <w:rStyle w:val="VerbatimChar"/>
        </w:rPr>
        <w:t xml:space="preserve">DELETION_PARTIAL</w:t>
      </w:r>
      <w:r>
        <w:br/>
      </w:r>
      <w:r>
        <w:rPr>
          <w:rStyle w:val="VerbatimChar"/>
        </w:rPr>
        <w:t xml:space="preserve">REQUEST_REJECTED</w:t>
      </w:r>
      <w:r>
        <w:br/>
      </w:r>
      <w:r>
        <w:rPr>
          <w:rStyle w:val="VerbatimChar"/>
        </w:rPr>
        <w:t xml:space="preserve">LEGAL_HOLD_APPLIED</w:t>
      </w:r>
      <w:r>
        <w:br/>
      </w:r>
      <w:r>
        <w:rPr>
          <w:rStyle w:val="VerbatimChar"/>
        </w:rPr>
        <w:t xml:space="preserve">LEGAL_HOLD_RELEASED</w:t>
      </w:r>
      <w:r>
        <w:br/>
      </w:r>
      <w:r>
        <w:rPr>
          <w:rStyle w:val="VerbatimChar"/>
        </w:rPr>
        <w:t xml:space="preserve">REQUEST_COMPLETED</w:t>
      </w:r>
    </w:p>
    <w:p>
      <w:pPr>
        <w:pStyle w:val="FirstParagraph"/>
      </w:pPr>
      <w:r>
        <w:t xml:space="preserve">Jedes Ereignis enthält:</w:t>
      </w:r>
    </w:p>
    <w:p>
      <w:pPr>
        <w:pStyle w:val="SourceCode"/>
      </w:pPr>
      <w:r>
        <w:rPr>
          <w:rStyle w:val="VerbatimChar"/>
        </w:rPr>
        <w:t xml:space="preserve">event_id</w:t>
      </w:r>
      <w:r>
        <w:br/>
      </w:r>
      <w:r>
        <w:rPr>
          <w:rStyle w:val="VerbatimChar"/>
        </w:rPr>
        <w:t xml:space="preserve">request_id</w:t>
      </w:r>
      <w:r>
        <w:br/>
      </w:r>
      <w:r>
        <w:rPr>
          <w:rStyle w:val="VerbatimChar"/>
        </w:rPr>
        <w:t xml:space="preserve">event_type</w:t>
      </w:r>
      <w:r>
        <w:br/>
      </w:r>
      <w:r>
        <w:rPr>
          <w:rStyle w:val="VerbatimChar"/>
        </w:rPr>
        <w:t xml:space="preserve">actor_type</w:t>
      </w:r>
      <w:r>
        <w:br/>
      </w:r>
      <w:r>
        <w:rPr>
          <w:rStyle w:val="VerbatimChar"/>
        </w:rPr>
        <w:t xml:space="preserve">actor_id</w:t>
      </w:r>
      <w:r>
        <w:br/>
      </w:r>
      <w:r>
        <w:rPr>
          <w:rStyle w:val="VerbatimChar"/>
        </w:rPr>
        <w:t xml:space="preserve">event_at</w:t>
      </w:r>
      <w:r>
        <w:br/>
      </w:r>
      <w:r>
        <w:rPr>
          <w:rStyle w:val="VerbatimChar"/>
        </w:rPr>
        <w:t xml:space="preserve">restaurant_id</w:t>
      </w:r>
      <w:r>
        <w:br/>
      </w:r>
      <w:r>
        <w:rPr>
          <w:rStyle w:val="VerbatimChar"/>
        </w:rPr>
        <w:t xml:space="preserve">reason_code</w:t>
      </w:r>
      <w:r>
        <w:br/>
      </w:r>
      <w:r>
        <w:rPr>
          <w:rStyle w:val="VerbatimChar"/>
        </w:rPr>
        <w:t xml:space="preserve">metadata_minimized</w:t>
      </w:r>
    </w:p>
    <w:p>
      <w:r>
        <w:pict>
          <v:rect style="width:0;height:1.5pt" o:hralign="center" o:hrstd="t" o:hr="t"/>
        </w:pict>
      </w:r>
    </w:p>
    <w:bookmarkEnd w:id="95"/>
    <w:bookmarkStart w:id="96" w:name="owner-portal"/>
    <w:p>
      <w:pPr>
        <w:pStyle w:val="Heading1"/>
      </w:pPr>
      <w:r>
        <w:t xml:space="preserve">23. Owner-Portal</w:t>
      </w:r>
    </w:p>
    <w:p>
      <w:pPr>
        <w:pStyle w:val="FirstParagraph"/>
      </w:pPr>
      <w:r>
        <w:t xml:space="preserve">Unter:</w:t>
      </w:r>
    </w:p>
    <w:p>
      <w:pPr>
        <w:pStyle w:val="SourceCode"/>
      </w:pPr>
      <w:r>
        <w:rPr>
          <w:rStyle w:val="VerbatimChar"/>
        </w:rPr>
        <w:t xml:space="preserve">/owner/legal/requests</w:t>
      </w:r>
    </w:p>
    <w:p>
      <w:pPr>
        <w:pStyle w:val="FirstParagraph"/>
      </w:pPr>
      <w:r>
        <w:t xml:space="preserve">Der Owner sieht:</w:t>
      </w:r>
    </w:p>
    <w:p>
      <w:pPr>
        <w:pStyle w:val="Compact"/>
        <w:numPr>
          <w:ilvl w:val="0"/>
          <w:numId w:val="1054"/>
        </w:numPr>
      </w:pPr>
      <w:r>
        <w:t xml:space="preserve">offene Anträge;</w:t>
      </w:r>
    </w:p>
    <w:p>
      <w:pPr>
        <w:pStyle w:val="Compact"/>
        <w:numPr>
          <w:ilvl w:val="0"/>
          <w:numId w:val="1054"/>
        </w:numPr>
      </w:pPr>
      <w:r>
        <w:t xml:space="preserve">Frist;</w:t>
      </w:r>
    </w:p>
    <w:p>
      <w:pPr>
        <w:pStyle w:val="Compact"/>
        <w:numPr>
          <w:ilvl w:val="0"/>
          <w:numId w:val="1054"/>
        </w:numPr>
      </w:pPr>
      <w:r>
        <w:t xml:space="preserve">Antragstyp;</w:t>
      </w:r>
    </w:p>
    <w:p>
      <w:pPr>
        <w:pStyle w:val="Compact"/>
        <w:numPr>
          <w:ilvl w:val="0"/>
          <w:numId w:val="1054"/>
        </w:numPr>
      </w:pPr>
      <w:r>
        <w:t xml:space="preserve">Identitätsstatus;</w:t>
      </w:r>
    </w:p>
    <w:p>
      <w:pPr>
        <w:pStyle w:val="Compact"/>
        <w:numPr>
          <w:ilvl w:val="0"/>
          <w:numId w:val="1054"/>
        </w:numPr>
      </w:pPr>
      <w:r>
        <w:t xml:space="preserve">Restaurantumfang;</w:t>
      </w:r>
    </w:p>
    <w:p>
      <w:pPr>
        <w:pStyle w:val="Compact"/>
        <w:numPr>
          <w:ilvl w:val="0"/>
          <w:numId w:val="1054"/>
        </w:numPr>
      </w:pPr>
      <w:r>
        <w:t xml:space="preserve">empfohlene Aktion;</w:t>
      </w:r>
    </w:p>
    <w:p>
      <w:pPr>
        <w:pStyle w:val="Compact"/>
        <w:numPr>
          <w:ilvl w:val="0"/>
          <w:numId w:val="1054"/>
        </w:numPr>
      </w:pPr>
      <w:r>
        <w:t xml:space="preserve">Exportstatus;</w:t>
      </w:r>
    </w:p>
    <w:p>
      <w:pPr>
        <w:pStyle w:val="Compact"/>
        <w:numPr>
          <w:ilvl w:val="0"/>
          <w:numId w:val="1054"/>
        </w:numPr>
      </w:pPr>
      <w:r>
        <w:t xml:space="preserve">Löschstatus;</w:t>
      </w:r>
    </w:p>
    <w:p>
      <w:pPr>
        <w:pStyle w:val="Compact"/>
        <w:numPr>
          <w:ilvl w:val="0"/>
          <w:numId w:val="1054"/>
        </w:numPr>
      </w:pPr>
      <w:r>
        <w:t xml:space="preserve">rechtliche Sperrgründe;</w:t>
      </w:r>
    </w:p>
    <w:p>
      <w:pPr>
        <w:pStyle w:val="Compact"/>
        <w:numPr>
          <w:ilvl w:val="0"/>
          <w:numId w:val="1054"/>
        </w:numPr>
      </w:pPr>
      <w:r>
        <w:t xml:space="preserve">Abschlussnachweis.</w:t>
      </w:r>
    </w:p>
    <w:p>
      <w:pPr>
        <w:pStyle w:val="FirstParagraph"/>
      </w:pPr>
      <w:r>
        <w:t xml:space="preserve">Der Owner darf nicht:</w:t>
      </w:r>
    </w:p>
    <w:p>
      <w:pPr>
        <w:pStyle w:val="Compact"/>
        <w:numPr>
          <w:ilvl w:val="0"/>
          <w:numId w:val="1055"/>
        </w:numPr>
      </w:pPr>
      <w:r>
        <w:t xml:space="preserve">Fristen löschen;</w:t>
      </w:r>
    </w:p>
    <w:p>
      <w:pPr>
        <w:pStyle w:val="Compact"/>
        <w:numPr>
          <w:ilvl w:val="0"/>
          <w:numId w:val="1055"/>
        </w:numPr>
      </w:pPr>
      <w:r>
        <w:t xml:space="preserve">Anträge unprotokolliert schließen;</w:t>
      </w:r>
    </w:p>
    <w:p>
      <w:pPr>
        <w:pStyle w:val="Compact"/>
        <w:numPr>
          <w:ilvl w:val="0"/>
          <w:numId w:val="1055"/>
        </w:numPr>
      </w:pPr>
      <w:r>
        <w:t xml:space="preserve">Datenexporte fremder Restaurants öffnen;</w:t>
      </w:r>
    </w:p>
    <w:p>
      <w:pPr>
        <w:pStyle w:val="Compact"/>
        <w:numPr>
          <w:ilvl w:val="0"/>
          <w:numId w:val="1055"/>
        </w:numPr>
      </w:pPr>
      <w:r>
        <w:t xml:space="preserve">gesetzliche Sperren ohne Berechtigung entfernen;</w:t>
      </w:r>
    </w:p>
    <w:p>
      <w:pPr>
        <w:pStyle w:val="Compact"/>
        <w:numPr>
          <w:ilvl w:val="0"/>
          <w:numId w:val="1055"/>
        </w:numPr>
      </w:pPr>
      <w:r>
        <w:t xml:space="preserve">Löschhistorien überschreiben.</w:t>
      </w:r>
    </w:p>
    <w:p>
      <w:r>
        <w:pict>
          <v:rect style="width:0;height:1.5pt" o:hralign="center" o:hrstd="t" o:hr="t"/>
        </w:pict>
      </w:r>
    </w:p>
    <w:bookmarkEnd w:id="96"/>
    <w:bookmarkStart w:id="97" w:name="plattform-admin"/>
    <w:p>
      <w:pPr>
        <w:pStyle w:val="Heading1"/>
      </w:pPr>
      <w:r>
        <w:t xml:space="preserve">24. Plattform-Admin</w:t>
      </w:r>
    </w:p>
    <w:p>
      <w:pPr>
        <w:pStyle w:val="FirstParagraph"/>
      </w:pPr>
      <w:r>
        <w:t xml:space="preserve">Unter:</w:t>
      </w:r>
    </w:p>
    <w:p>
      <w:pPr>
        <w:pStyle w:val="SourceCode"/>
      </w:pPr>
      <w:r>
        <w:rPr>
          <w:rStyle w:val="VerbatimChar"/>
        </w:rPr>
        <w:t xml:space="preserve">/admin/platform/legal/privacy-requests</w:t>
      </w:r>
    </w:p>
    <w:p>
      <w:pPr>
        <w:pStyle w:val="FirstParagraph"/>
      </w:pPr>
      <w:r>
        <w:t xml:space="preserve">Der Plattform-Admin darf:</w:t>
      </w:r>
    </w:p>
    <w:p>
      <w:pPr>
        <w:pStyle w:val="Compact"/>
        <w:numPr>
          <w:ilvl w:val="0"/>
          <w:numId w:val="1056"/>
        </w:numPr>
      </w:pPr>
      <w:r>
        <w:t xml:space="preserve">technische Fehler sehen;</w:t>
      </w:r>
    </w:p>
    <w:p>
      <w:pPr>
        <w:pStyle w:val="Compact"/>
        <w:numPr>
          <w:ilvl w:val="0"/>
          <w:numId w:val="1056"/>
        </w:numPr>
      </w:pPr>
      <w:r>
        <w:t xml:space="preserve">Jobs neu anstoßen;</w:t>
      </w:r>
    </w:p>
    <w:p>
      <w:pPr>
        <w:pStyle w:val="Compact"/>
        <w:numPr>
          <w:ilvl w:val="0"/>
          <w:numId w:val="1056"/>
        </w:numPr>
      </w:pPr>
      <w:r>
        <w:t xml:space="preserve">fehlgeschlagene Exporte diagnostizieren;</w:t>
      </w:r>
    </w:p>
    <w:p>
      <w:pPr>
        <w:pStyle w:val="Compact"/>
        <w:numPr>
          <w:ilvl w:val="0"/>
          <w:numId w:val="1056"/>
        </w:numPr>
      </w:pPr>
      <w:r>
        <w:t xml:space="preserve">Löschjobs kontrolliert wiederholen;</w:t>
      </w:r>
    </w:p>
    <w:p>
      <w:pPr>
        <w:pStyle w:val="Compact"/>
        <w:numPr>
          <w:ilvl w:val="0"/>
          <w:numId w:val="1056"/>
        </w:numPr>
      </w:pPr>
      <w:r>
        <w:t xml:space="preserve">Restaurantzuordnung prüfen;</w:t>
      </w:r>
    </w:p>
    <w:p>
      <w:pPr>
        <w:pStyle w:val="Compact"/>
        <w:numPr>
          <w:ilvl w:val="0"/>
          <w:numId w:val="1056"/>
        </w:numPr>
      </w:pPr>
      <w:r>
        <w:t xml:space="preserve">Legal Holds technisch abbilden;</w:t>
      </w:r>
    </w:p>
    <w:p>
      <w:pPr>
        <w:pStyle w:val="Compact"/>
        <w:numPr>
          <w:ilvl w:val="0"/>
          <w:numId w:val="1056"/>
        </w:numPr>
      </w:pPr>
      <w:r>
        <w:t xml:space="preserve">Auditnachweise exportieren.</w:t>
      </w:r>
    </w:p>
    <w:p>
      <w:pPr>
        <w:pStyle w:val="FirstParagraph"/>
      </w:pPr>
      <w:r>
        <w:t xml:space="preserve">Jeder Zugriff benötigt:</w:t>
      </w:r>
    </w:p>
    <w:p>
      <w:pPr>
        <w:pStyle w:val="Compact"/>
        <w:numPr>
          <w:ilvl w:val="0"/>
          <w:numId w:val="1057"/>
        </w:numPr>
      </w:pPr>
      <w:r>
        <w:t xml:space="preserve">konkreten Support- oder Compliancegrund;</w:t>
      </w:r>
    </w:p>
    <w:p>
      <w:pPr>
        <w:pStyle w:val="Compact"/>
        <w:numPr>
          <w:ilvl w:val="0"/>
          <w:numId w:val="1057"/>
        </w:numPr>
      </w:pPr>
      <w:r>
        <w:t xml:space="preserve">Protokollierung;</w:t>
      </w:r>
    </w:p>
    <w:p>
      <w:pPr>
        <w:pStyle w:val="Compact"/>
        <w:numPr>
          <w:ilvl w:val="0"/>
          <w:numId w:val="1057"/>
        </w:numPr>
      </w:pPr>
      <w:r>
        <w:t xml:space="preserve">minimalen Datenzugriff.</w:t>
      </w:r>
    </w:p>
    <w:p>
      <w:r>
        <w:pict>
          <v:rect style="width:0;height:1.5pt" o:hralign="center" o:hrstd="t" o:hr="t"/>
        </w:pict>
      </w:r>
    </w:p>
    <w:bookmarkEnd w:id="97"/>
    <w:bookmarkStart w:id="102" w:name="kundentexte"/>
    <w:p>
      <w:pPr>
        <w:pStyle w:val="Heading1"/>
      </w:pPr>
      <w:r>
        <w:t xml:space="preserve">25. Kundentexte</w:t>
      </w:r>
    </w:p>
    <w:bookmarkStart w:id="98" w:name="datenexport"/>
    <w:p>
      <w:pPr>
        <w:pStyle w:val="Heading2"/>
      </w:pPr>
      <w:r>
        <w:t xml:space="preserve">25.1 Datenexport</w:t>
      </w:r>
    </w:p>
    <w:p>
      <w:pPr>
        <w:pStyle w:val="BlockText"/>
      </w:pPr>
      <w:r>
        <w:t xml:space="preserve">Sie können eine Kopie Ihrer im ausgewählten Restaurant-Bonusprogramm gespeicherten personenbezogenen Daten anfordern. Vor der Bereitstellung kann eine Identitätsprüfung erforderlich sein. Der Download wird aus Sicherheitsgründen nur für einen begrenzten Zeitraum verfügbar sein.</w:t>
      </w:r>
    </w:p>
    <w:bookmarkEnd w:id="98"/>
    <w:bookmarkStart w:id="99" w:name="löschanfrage"/>
    <w:p>
      <w:pPr>
        <w:pStyle w:val="Heading2"/>
      </w:pPr>
      <w:r>
        <w:t xml:space="preserve">25.2 Löschanfrage</w:t>
      </w:r>
    </w:p>
    <w:p>
      <w:pPr>
        <w:pStyle w:val="BlockText"/>
      </w:pPr>
      <w:r>
        <w:t xml:space="preserve">Sie können die Löschung Ihrer personenbezogenen Daten beantragen. Durch die Löschung endet Ihre Teilnahme an den ausgewählten Bonusprogrammen. Noch vorhandene Punkte und Rewards können dadurch verloren gehen. Daten, die aufgrund gesetzlicher Verpflichtungen oder zur Rechtsverteidigung weiterhin benötigt werden, können eingeschränkt gespeichert bleiben.</w:t>
      </w:r>
    </w:p>
    <w:bookmarkEnd w:id="99"/>
    <w:bookmarkStart w:id="100" w:name="einschränkung-1"/>
    <w:p>
      <w:pPr>
        <w:pStyle w:val="Heading2"/>
      </w:pPr>
      <w:r>
        <w:t xml:space="preserve">25.3 Einschränkung</w:t>
      </w:r>
    </w:p>
    <w:p>
      <w:pPr>
        <w:pStyle w:val="BlockText"/>
      </w:pPr>
      <w:r>
        <w:t xml:space="preserve">Sie können unter den gesetzlichen Voraussetzungen verlangen, dass Ihre Daten vorübergehend nur noch gespeichert und nicht für weitere Zwecke verwendet werden.</w:t>
      </w:r>
    </w:p>
    <w:bookmarkEnd w:id="100"/>
    <w:bookmarkStart w:id="101" w:name="berichtigung-1"/>
    <w:p>
      <w:pPr>
        <w:pStyle w:val="Heading2"/>
      </w:pPr>
      <w:r>
        <w:t xml:space="preserve">25.4 Berichtigung</w:t>
      </w:r>
    </w:p>
    <w:p>
      <w:pPr>
        <w:pStyle w:val="BlockText"/>
      </w:pPr>
      <w:r>
        <w:t xml:space="preserve">Unrichtige personenbezogene Daten können Sie selbst korrigieren oder durch das verantwortliche Restaurant berichtigen lassen. Historische Transaktionen werden aus Nachweisgründen nicht überschrieben, sondern durch dokumentierte Korrekturen ergänzt.</w:t>
      </w:r>
    </w:p>
    <w:p>
      <w:r>
        <w:pict>
          <v:rect style="width:0;height:1.5pt" o:hralign="center" o:hrstd="t" o:hr="t"/>
        </w:pict>
      </w:r>
    </w:p>
    <w:bookmarkEnd w:id="101"/>
    <w:bookmarkEnd w:id="102"/>
    <w:bookmarkStart w:id="109" w:name="technische-abnahmetests"/>
    <w:p>
      <w:pPr>
        <w:pStyle w:val="Heading1"/>
      </w:pPr>
      <w:r>
        <w:t xml:space="preserve">26. Technische Abnahmetests</w:t>
      </w:r>
    </w:p>
    <w:bookmarkStart w:id="103" w:name="tenant-isolation"/>
    <w:p>
      <w:pPr>
        <w:pStyle w:val="Heading2"/>
      </w:pPr>
      <w:r>
        <w:t xml:space="preserve">Tenant-Isolation</w:t>
      </w:r>
    </w:p>
    <w:p>
      <w:pPr>
        <w:pStyle w:val="Compact"/>
        <w:numPr>
          <w:ilvl w:val="0"/>
          <w:numId w:val="1058"/>
        </w:numPr>
      </w:pPr>
      <w:r>
        <w:t xml:space="preserve">Restaurant A sieht keine Anträge von Restaurant B.</w:t>
      </w:r>
    </w:p>
    <w:p>
      <w:pPr>
        <w:pStyle w:val="Compact"/>
        <w:numPr>
          <w:ilvl w:val="0"/>
          <w:numId w:val="1058"/>
        </w:numPr>
      </w:pPr>
      <w:r>
        <w:t xml:space="preserve">Export enthält keine Daten anderer Restaurants außerhalb des Umfangs.</w:t>
      </w:r>
    </w:p>
    <w:p>
      <w:pPr>
        <w:pStyle w:val="Compact"/>
        <w:numPr>
          <w:ilvl w:val="0"/>
          <w:numId w:val="1058"/>
        </w:numPr>
      </w:pPr>
      <w:r>
        <w:t xml:space="preserve">Plattform-Supportzugriffe sind protokolliert.</w:t>
      </w:r>
    </w:p>
    <w:bookmarkEnd w:id="103"/>
    <w:bookmarkStart w:id="104" w:name="identität"/>
    <w:p>
      <w:pPr>
        <w:pStyle w:val="Heading2"/>
      </w:pPr>
      <w:r>
        <w:t xml:space="preserve">Identität</w:t>
      </w:r>
    </w:p>
    <w:p>
      <w:pPr>
        <w:pStyle w:val="Compact"/>
        <w:numPr>
          <w:ilvl w:val="0"/>
          <w:numId w:val="1059"/>
        </w:numPr>
      </w:pPr>
      <w:r>
        <w:t xml:space="preserve">nicht bestätigter Nutzer erhält keinen Export;</w:t>
      </w:r>
    </w:p>
    <w:p>
      <w:pPr>
        <w:pStyle w:val="Compact"/>
        <w:numPr>
          <w:ilvl w:val="0"/>
          <w:numId w:val="1059"/>
        </w:numPr>
      </w:pPr>
      <w:r>
        <w:t xml:space="preserve">abgelaufener Bestätigungscode wird abgelehnt;</w:t>
      </w:r>
    </w:p>
    <w:p>
      <w:pPr>
        <w:pStyle w:val="Compact"/>
        <w:numPr>
          <w:ilvl w:val="0"/>
          <w:numId w:val="1059"/>
        </w:numPr>
      </w:pPr>
      <w:r>
        <w:t xml:space="preserve">Token kann nur einmal verwendet werden;</w:t>
      </w:r>
    </w:p>
    <w:p>
      <w:pPr>
        <w:pStyle w:val="Compact"/>
        <w:numPr>
          <w:ilvl w:val="0"/>
          <w:numId w:val="1059"/>
        </w:numPr>
      </w:pPr>
      <w:r>
        <w:t xml:space="preserve">Restaurantkontext wird serverseitig geprüft.</w:t>
      </w:r>
    </w:p>
    <w:bookmarkEnd w:id="104"/>
    <w:bookmarkStart w:id="105" w:name="export"/>
    <w:p>
      <w:pPr>
        <w:pStyle w:val="Heading2"/>
      </w:pPr>
      <w:r>
        <w:t xml:space="preserve">Export</w:t>
      </w:r>
    </w:p>
    <w:p>
      <w:pPr>
        <w:pStyle w:val="Compact"/>
        <w:numPr>
          <w:ilvl w:val="0"/>
          <w:numId w:val="1060"/>
        </w:numPr>
      </w:pPr>
      <w:r>
        <w:t xml:space="preserve">kein</w:t>
      </w:r>
      <w:r>
        <w:t xml:space="preserve"> </w:t>
      </w:r>
      <w:r>
        <w:rPr>
          <w:rStyle w:val="VerbatimChar"/>
        </w:rPr>
        <w:t xml:space="preserve">rendered_text</w:t>
      </w:r>
      <w:r>
        <w:t xml:space="preserve"> </w:t>
      </w:r>
      <w:r>
        <w:t xml:space="preserve">vollständiger Rechtsdokumente;</w:t>
      </w:r>
    </w:p>
    <w:p>
      <w:pPr>
        <w:pStyle w:val="Compact"/>
        <w:numPr>
          <w:ilvl w:val="0"/>
          <w:numId w:val="1060"/>
        </w:numPr>
      </w:pPr>
      <w:r>
        <w:t xml:space="preserve">keine Geheimtokens;</w:t>
      </w:r>
    </w:p>
    <w:p>
      <w:pPr>
        <w:pStyle w:val="Compact"/>
        <w:numPr>
          <w:ilvl w:val="0"/>
          <w:numId w:val="1060"/>
        </w:numPr>
      </w:pPr>
      <w:r>
        <w:t xml:space="preserve">Downloadlink läuft ab;</w:t>
      </w:r>
    </w:p>
    <w:p>
      <w:pPr>
        <w:pStyle w:val="Compact"/>
        <w:numPr>
          <w:ilvl w:val="0"/>
          <w:numId w:val="1060"/>
        </w:numPr>
      </w:pPr>
      <w:r>
        <w:t xml:space="preserve">Export wird nach Ablauf gelöscht;</w:t>
      </w:r>
    </w:p>
    <w:p>
      <w:pPr>
        <w:pStyle w:val="Compact"/>
        <w:numPr>
          <w:ilvl w:val="0"/>
          <w:numId w:val="1060"/>
        </w:numPr>
      </w:pPr>
      <w:r>
        <w:t xml:space="preserve">JSON, CSV und PDF enthalten konsistente Werte.</w:t>
      </w:r>
    </w:p>
    <w:bookmarkEnd w:id="105"/>
    <w:bookmarkStart w:id="106" w:name="löschung-1"/>
    <w:p>
      <w:pPr>
        <w:pStyle w:val="Heading2"/>
      </w:pPr>
      <w:r>
        <w:t xml:space="preserve">Löschung</w:t>
      </w:r>
    </w:p>
    <w:p>
      <w:pPr>
        <w:pStyle w:val="Compact"/>
        <w:numPr>
          <w:ilvl w:val="0"/>
          <w:numId w:val="1061"/>
        </w:numPr>
      </w:pPr>
      <w:r>
        <w:t xml:space="preserve">Marketing wird sofort gestoppt;</w:t>
      </w:r>
    </w:p>
    <w:p>
      <w:pPr>
        <w:pStyle w:val="Compact"/>
        <w:numPr>
          <w:ilvl w:val="0"/>
          <w:numId w:val="1061"/>
        </w:numPr>
      </w:pPr>
      <w:r>
        <w:t xml:space="preserve">Punkte werden nach bestätigter Löschung nicht mehr angezeigt;</w:t>
      </w:r>
    </w:p>
    <w:p>
      <w:pPr>
        <w:pStyle w:val="Compact"/>
        <w:numPr>
          <w:ilvl w:val="0"/>
          <w:numId w:val="1061"/>
        </w:numPr>
      </w:pPr>
      <w:r>
        <w:t xml:space="preserve">andere Restaurantkonten bleiben unberührt;</w:t>
      </w:r>
    </w:p>
    <w:p>
      <w:pPr>
        <w:pStyle w:val="Compact"/>
        <w:numPr>
          <w:ilvl w:val="0"/>
          <w:numId w:val="1061"/>
        </w:numPr>
      </w:pPr>
      <w:r>
        <w:t xml:space="preserve">Job ist idempotent;</w:t>
      </w:r>
    </w:p>
    <w:p>
      <w:pPr>
        <w:pStyle w:val="Compact"/>
        <w:numPr>
          <w:ilvl w:val="0"/>
          <w:numId w:val="1061"/>
        </w:numPr>
      </w:pPr>
      <w:r>
        <w:t xml:space="preserve">Cache wird invalidiert;</w:t>
      </w:r>
    </w:p>
    <w:p>
      <w:pPr>
        <w:pStyle w:val="Compact"/>
        <w:numPr>
          <w:ilvl w:val="0"/>
          <w:numId w:val="1061"/>
        </w:numPr>
      </w:pPr>
      <w:r>
        <w:t xml:space="preserve">Restore reaktiviert gelöschte Daten nicht dauerhaft.</w:t>
      </w:r>
    </w:p>
    <w:bookmarkEnd w:id="106"/>
    <w:bookmarkStart w:id="107" w:name="aufbewahrung"/>
    <w:p>
      <w:pPr>
        <w:pStyle w:val="Heading2"/>
      </w:pPr>
      <w:r>
        <w:t xml:space="preserve">Aufbewahrung</w:t>
      </w:r>
    </w:p>
    <w:p>
      <w:pPr>
        <w:pStyle w:val="Compact"/>
        <w:numPr>
          <w:ilvl w:val="0"/>
          <w:numId w:val="1062"/>
        </w:numPr>
      </w:pPr>
      <w:r>
        <w:t xml:space="preserve">gesetzlich gesperrte Daten werden nicht operativ angezeigt;</w:t>
      </w:r>
    </w:p>
    <w:p>
      <w:pPr>
        <w:pStyle w:val="Compact"/>
        <w:numPr>
          <w:ilvl w:val="0"/>
          <w:numId w:val="1062"/>
        </w:numPr>
      </w:pPr>
      <w:r>
        <w:t xml:space="preserve">gesperrte Daten werden nicht für Marketing verwendet;</w:t>
      </w:r>
    </w:p>
    <w:p>
      <w:pPr>
        <w:pStyle w:val="Compact"/>
        <w:numPr>
          <w:ilvl w:val="0"/>
          <w:numId w:val="1062"/>
        </w:numPr>
      </w:pPr>
      <w:r>
        <w:t xml:space="preserve">Legal Hold ist befristet und überprüfbar;</w:t>
      </w:r>
    </w:p>
    <w:p>
      <w:pPr>
        <w:pStyle w:val="Compact"/>
        <w:numPr>
          <w:ilvl w:val="0"/>
          <w:numId w:val="1062"/>
        </w:numPr>
      </w:pPr>
      <w:r>
        <w:t xml:space="preserve">nach Fristablauf erfolgt Löschung.</w:t>
      </w:r>
    </w:p>
    <w:bookmarkEnd w:id="107"/>
    <w:bookmarkStart w:id="108" w:name="audit"/>
    <w:p>
      <w:pPr>
        <w:pStyle w:val="Heading2"/>
      </w:pPr>
      <w:r>
        <w:t xml:space="preserve">Audit</w:t>
      </w:r>
    </w:p>
    <w:p>
      <w:pPr>
        <w:pStyle w:val="Compact"/>
        <w:numPr>
          <w:ilvl w:val="0"/>
          <w:numId w:val="1063"/>
        </w:numPr>
      </w:pPr>
      <w:r>
        <w:t xml:space="preserve">jede Entscheidung hat Akteur, Zeitpunkt und Grund;</w:t>
      </w:r>
    </w:p>
    <w:p>
      <w:pPr>
        <w:pStyle w:val="Compact"/>
        <w:numPr>
          <w:ilvl w:val="0"/>
          <w:numId w:val="1063"/>
        </w:numPr>
      </w:pPr>
      <w:r>
        <w:t xml:space="preserve">historische Ereignisse sind nicht überschreibbar;</w:t>
      </w:r>
    </w:p>
    <w:p>
      <w:pPr>
        <w:pStyle w:val="Compact"/>
        <w:numPr>
          <w:ilvl w:val="0"/>
          <w:numId w:val="1063"/>
        </w:numPr>
      </w:pPr>
      <w:r>
        <w:t xml:space="preserve">kein Geheimnis wird im Auditlog gespeichert.</w:t>
      </w:r>
    </w:p>
    <w:p>
      <w:r>
        <w:pict>
          <v:rect style="width:0;height:1.5pt" o:hralign="center" o:hrstd="t" o:hr="t"/>
        </w:pict>
      </w:r>
    </w:p>
    <w:bookmarkEnd w:id="108"/>
    <w:bookmarkEnd w:id="109"/>
    <w:bookmarkStart w:id="110" w:name="X37dae788120dbb1c193268aaf3f6e442fc28f6e"/>
    <w:p>
      <w:pPr>
        <w:pStyle w:val="Heading1"/>
      </w:pPr>
      <w:r>
        <w:t xml:space="preserve">27. Offene anwaltliche und steuerliche Entscheidungen</w:t>
      </w:r>
    </w:p>
    <w:p>
      <w:pPr>
        <w:pStyle w:val="Compact"/>
        <w:numPr>
          <w:ilvl w:val="0"/>
          <w:numId w:val="1064"/>
        </w:numPr>
      </w:pPr>
      <w:r>
        <w:t xml:space="preserve">Konkrete Standardfrist für Punkte- und Rewardhistorien.</w:t>
      </w:r>
    </w:p>
    <w:p>
      <w:pPr>
        <w:pStyle w:val="Compact"/>
        <w:numPr>
          <w:ilvl w:val="0"/>
          <w:numId w:val="1064"/>
        </w:numPr>
      </w:pPr>
      <w:r>
        <w:t xml:space="preserve">Dauer des Nachweises von Legal-Acceptances.</w:t>
      </w:r>
    </w:p>
    <w:p>
      <w:pPr>
        <w:pStyle w:val="Compact"/>
        <w:numPr>
          <w:ilvl w:val="0"/>
          <w:numId w:val="1064"/>
        </w:numPr>
      </w:pPr>
      <w:r>
        <w:t xml:space="preserve">Dauer des Nachweises widerrufener Consents.</w:t>
      </w:r>
    </w:p>
    <w:p>
      <w:pPr>
        <w:pStyle w:val="Compact"/>
        <w:numPr>
          <w:ilvl w:val="0"/>
          <w:numId w:val="1064"/>
        </w:numPr>
      </w:pPr>
      <w:r>
        <w:t xml:space="preserve">Ausmaß der Datenübertragbarkeit bei restaurantbezogenen Punkten.</w:t>
      </w:r>
    </w:p>
    <w:p>
      <w:pPr>
        <w:pStyle w:val="Compact"/>
        <w:numPr>
          <w:ilvl w:val="0"/>
          <w:numId w:val="1064"/>
        </w:numPr>
      </w:pPr>
      <w:r>
        <w:t xml:space="preserve">Behandlung anonymisierter Transaktionsstatistiken.</w:t>
      </w:r>
    </w:p>
    <w:p>
      <w:pPr>
        <w:pStyle w:val="Compact"/>
        <w:numPr>
          <w:ilvl w:val="0"/>
          <w:numId w:val="1064"/>
        </w:numPr>
      </w:pPr>
      <w:r>
        <w:t xml:space="preserve">Zulässigkeit der Aufbewahrung bei Missbrauchsverdacht.</w:t>
      </w:r>
    </w:p>
    <w:p>
      <w:pPr>
        <w:pStyle w:val="Compact"/>
        <w:numPr>
          <w:ilvl w:val="0"/>
          <w:numId w:val="1064"/>
        </w:numPr>
      </w:pPr>
      <w:r>
        <w:t xml:space="preserve">genaue Verjährungs- und Rechtsverteidigungsfristen.</w:t>
      </w:r>
    </w:p>
    <w:p>
      <w:pPr>
        <w:pStyle w:val="Compact"/>
        <w:numPr>
          <w:ilvl w:val="0"/>
          <w:numId w:val="1064"/>
        </w:numPr>
      </w:pPr>
      <w:r>
        <w:t xml:space="preserve">Umgang mit offenen Rewards bei Gastlöschung.</w:t>
      </w:r>
    </w:p>
    <w:p>
      <w:pPr>
        <w:pStyle w:val="Compact"/>
        <w:numPr>
          <w:ilvl w:val="0"/>
          <w:numId w:val="1064"/>
        </w:numPr>
      </w:pPr>
      <w:r>
        <w:t xml:space="preserve">Umfang des Exports interner Sicherheitsinformationen.</w:t>
      </w:r>
    </w:p>
    <w:p>
      <w:pPr>
        <w:pStyle w:val="Compact"/>
        <w:numPr>
          <w:ilvl w:val="0"/>
          <w:numId w:val="1064"/>
        </w:numPr>
      </w:pPr>
      <w:r>
        <w:t xml:space="preserve">Umgang mit Minderjährigenanträgen.</w:t>
      </w:r>
    </w:p>
    <w:p>
      <w:pPr>
        <w:pStyle w:val="Compact"/>
        <w:numPr>
          <w:ilvl w:val="0"/>
          <w:numId w:val="1064"/>
        </w:numPr>
      </w:pPr>
      <w:r>
        <w:t xml:space="preserve">Identitätsprüfung ohne unverhältnismäßige Dokumentenanforderung.</w:t>
      </w:r>
    </w:p>
    <w:p>
      <w:pPr>
        <w:pStyle w:val="Compact"/>
        <w:numPr>
          <w:ilvl w:val="0"/>
          <w:numId w:val="1064"/>
        </w:numPr>
      </w:pPr>
      <w:r>
        <w:t xml:space="preserve">Fristen bei komplexen oder mehrfachen Anträgen.</w:t>
      </w:r>
    </w:p>
    <w:p>
      <w:pPr>
        <w:pStyle w:val="Compact"/>
        <w:numPr>
          <w:ilvl w:val="0"/>
          <w:numId w:val="1064"/>
        </w:numPr>
      </w:pPr>
      <w:r>
        <w:t xml:space="preserve">Rechtsgrundlage für minimierte Suppressionseinträge.</w:t>
      </w:r>
    </w:p>
    <w:p>
      <w:pPr>
        <w:pStyle w:val="Compact"/>
        <w:numPr>
          <w:ilvl w:val="0"/>
          <w:numId w:val="1064"/>
        </w:numPr>
      </w:pPr>
      <w:r>
        <w:t xml:space="preserve">konkrete Backup-Rotationsfrist.</w:t>
      </w:r>
    </w:p>
    <w:p>
      <w:pPr>
        <w:pStyle w:val="Compact"/>
        <w:numPr>
          <w:ilvl w:val="0"/>
          <w:numId w:val="1064"/>
        </w:numPr>
      </w:pPr>
      <w:r>
        <w:t xml:space="preserve">steuerliche Relevanz einzelner Reward- und Korrekturdatensätze.</w:t>
      </w:r>
    </w:p>
    <w:p>
      <w:pPr>
        <w:pStyle w:val="Compact"/>
        <w:numPr>
          <w:ilvl w:val="0"/>
          <w:numId w:val="1064"/>
        </w:numPr>
      </w:pPr>
      <w:r>
        <w:t xml:space="preserve">Aufbewahrung von SaaS-Vertrag, Rechnungen und Geschäftskorrespondenz.</w:t>
      </w:r>
    </w:p>
    <w:p>
      <w:pPr>
        <w:pStyle w:val="Compact"/>
        <w:numPr>
          <w:ilvl w:val="0"/>
          <w:numId w:val="1064"/>
        </w:numPr>
      </w:pPr>
      <w:r>
        <w:t xml:space="preserve">Umgang mit Daten bei Verkauf oder Rechtsträgerwechsel eines Restaurants.</w:t>
      </w:r>
    </w:p>
    <w:p>
      <w:pPr>
        <w:pStyle w:val="Compact"/>
        <w:numPr>
          <w:ilvl w:val="0"/>
          <w:numId w:val="1064"/>
        </w:numPr>
      </w:pPr>
      <w:r>
        <w:t xml:space="preserve">grenzüberschreitende Datenportabilität bei internationaler Expansion.</w:t>
      </w:r>
    </w:p>
    <w:p>
      <w:r>
        <w:pict>
          <v:rect style="width:0;height:1.5pt" o:hralign="center" o:hrstd="t" o:hr="t"/>
        </w:pict>
      </w:r>
    </w:p>
    <w:bookmarkEnd w:id="110"/>
    <w:bookmarkStart w:id="111" w:name="produktentscheidung-für-wuxuai-v1"/>
    <w:p>
      <w:pPr>
        <w:pStyle w:val="Heading1"/>
      </w:pPr>
      <w:r>
        <w:t xml:space="preserve">28. Produktentscheidung für WUXUAI V1</w:t>
      </w:r>
    </w:p>
    <w:p>
      <w:pPr>
        <w:pStyle w:val="FirstParagraph"/>
      </w:pPr>
      <w:r>
        <w:t xml:space="preserve">Bis zur anwaltlichen und steuerlichen Freigabe gelten:</w:t>
      </w:r>
    </w:p>
    <w:p>
      <w:pPr>
        <w:pStyle w:val="SourceCode"/>
      </w:pPr>
      <w:r>
        <w:rPr>
          <w:rStyle w:val="VerbatimChar"/>
        </w:rPr>
        <w:t xml:space="preserve">Auskunft und Export nur nach Identitätsprüfung.</w:t>
      </w:r>
      <w:r>
        <w:br/>
      </w:r>
      <w:r>
        <w:rPr>
          <w:rStyle w:val="VerbatimChar"/>
        </w:rPr>
        <w:t xml:space="preserve">Export restaurantbezogen und tenant-sicher.</w:t>
      </w:r>
      <w:r>
        <w:br/>
      </w:r>
      <w:r>
        <w:rPr>
          <w:rStyle w:val="VerbatimChar"/>
        </w:rPr>
        <w:t xml:space="preserve">Keine vollständigen Rechtstexte im personenbezogenen Export.</w:t>
      </w:r>
      <w:r>
        <w:br/>
      </w:r>
      <w:r>
        <w:rPr>
          <w:rStyle w:val="VerbatimChar"/>
        </w:rPr>
        <w:t xml:space="preserve">Keine Geheimtokens oder Tages-PINs im Export.</w:t>
      </w:r>
      <w:r>
        <w:br/>
      </w:r>
      <w:r>
        <w:rPr>
          <w:rStyle w:val="VerbatimChar"/>
        </w:rPr>
        <w:t xml:space="preserve">Marketingstopp sofort bei Löschantrag oder Widerspruch.</w:t>
      </w:r>
      <w:r>
        <w:br/>
      </w:r>
      <w:r>
        <w:rPr>
          <w:rStyle w:val="VerbatimChar"/>
        </w:rPr>
        <w:t xml:space="preserve">Löschung erst nach Prüfung gesetzlicher Aufbewahrung.</w:t>
      </w:r>
      <w:r>
        <w:br/>
      </w:r>
      <w:r>
        <w:rPr>
          <w:rStyle w:val="VerbatimChar"/>
        </w:rPr>
        <w:t xml:space="preserve">Gesetzlich gespeicherte Daten werden operativ gesperrt.</w:t>
      </w:r>
      <w:r>
        <w:br/>
      </w:r>
      <w:r>
        <w:rPr>
          <w:rStyle w:val="VerbatimChar"/>
        </w:rPr>
        <w:t xml:space="preserve">Löschjobs sind serverseitig und idempotent.</w:t>
      </w:r>
      <w:r>
        <w:br/>
      </w:r>
      <w:r>
        <w:rPr>
          <w:rStyle w:val="VerbatimChar"/>
        </w:rPr>
        <w:t xml:space="preserve">Backups haben feste Rotation und Re-Delete nach Restore.</w:t>
      </w:r>
      <w:r>
        <w:br/>
      </w:r>
      <w:r>
        <w:rPr>
          <w:rStyle w:val="VerbatimChar"/>
        </w:rPr>
        <w:t xml:space="preserve">Jeder Antrag und jede Entscheidung wird auditiert.</w:t>
      </w:r>
      <w:r>
        <w:br/>
      </w:r>
      <w:r>
        <w:rPr>
          <w:rStyle w:val="VerbatimChar"/>
        </w:rPr>
        <w:t xml:space="preserve">Keine pauschale dauerhafte Datenspeicherung.</w:t>
      </w:r>
    </w:p>
    <w:p>
      <w:r>
        <w:pict>
          <v:rect style="width:0;height:1.5pt" o:hralign="center" o:hrstd="t" o:hr="t"/>
        </w:pict>
      </w:r>
    </w:p>
    <w:bookmarkEnd w:id="111"/>
    <w:bookmarkStart w:id="112" w:name="status"/>
    <w:p>
      <w:pPr>
        <w:pStyle w:val="Heading1"/>
      </w:pPr>
      <w:r>
        <w:t xml:space="preserve">29. Status</w:t>
      </w:r>
    </w:p>
    <w:p>
      <w:pPr>
        <w:pStyle w:val="FirstParagraph"/>
      </w:pPr>
      <w:r>
        <w:rPr>
          <w:b/>
          <w:bCs/>
        </w:rPr>
        <w:t xml:space="preserve">Fachlicher Entwurf:</w:t>
      </w:r>
      <w:r>
        <w:t xml:space="preserve"> </w:t>
      </w:r>
      <w:r>
        <w:t xml:space="preserve">abgeschlossen</w:t>
      </w:r>
      <w:r>
        <w:br/>
      </w:r>
      <w:r>
        <w:rPr>
          <w:b/>
          <w:bCs/>
        </w:rPr>
        <w:t xml:space="preserve">Anwaltliche Prüfung:</w:t>
      </w:r>
      <w:r>
        <w:t xml:space="preserve"> </w:t>
      </w:r>
      <w:r>
        <w:t xml:space="preserve">ausstehend</w:t>
      </w:r>
      <w:r>
        <w:br/>
      </w:r>
      <w:r>
        <w:rPr>
          <w:b/>
          <w:bCs/>
        </w:rPr>
        <w:t xml:space="preserve">Steuerliche Prüfung:</w:t>
      </w:r>
      <w:r>
        <w:t xml:space="preserve"> </w:t>
      </w:r>
      <w:r>
        <w:t xml:space="preserve">ausstehend</w:t>
      </w:r>
      <w:r>
        <w:br/>
      </w:r>
      <w:r>
        <w:rPr>
          <w:b/>
          <w:bCs/>
        </w:rPr>
        <w:t xml:space="preserve">Technische Umsetzung:</w:t>
      </w:r>
      <w:r>
        <w:t xml:space="preserve"> </w:t>
      </w:r>
      <w:r>
        <w:t xml:space="preserve">noch nicht beauftragt</w:t>
      </w:r>
      <w:r>
        <w:br/>
      </w:r>
      <w:r>
        <w:rPr>
          <w:b/>
          <w:bCs/>
        </w:rPr>
        <w:t xml:space="preserve">Produktive Aktivierung automatischer Löschung:</w:t>
      </w:r>
      <w:r>
        <w:t xml:space="preserve"> </w:t>
      </w:r>
      <w:r>
        <w:t xml:space="preserve">nicht freigegeben</w:t>
      </w:r>
      <w:r>
        <w:br/>
      </w:r>
      <w:r>
        <w:rPr>
          <w:b/>
          <w:bCs/>
        </w:rPr>
        <w:t xml:space="preserve">Nächster Schritt:</w:t>
      </w:r>
      <w:r>
        <w:t xml:space="preserve"> </w:t>
      </w:r>
      <w:r>
        <w:t xml:space="preserve">Phase 2.6 – Programmbeendigung</w:t>
      </w:r>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2026-07-25T21:21:10Z</dcterms:created>
  <dcterms:modified xsi:type="dcterms:W3CDTF">2026-07-25T21:21:10Z</dcterms:modified>
</cp:coreProperties>
</file>

<file path=docProps/custom.xml><?xml version="1.0" encoding="utf-8"?>
<Properties xmlns="http://schemas.openxmlformats.org/officeDocument/2006/custom-properties" xmlns:vt="http://schemas.openxmlformats.org/officeDocument/2006/docPropsVTypes"/>
</file>