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gemeine-geschäftsbedingungen"/>
    <w:p>
      <w:pPr>
        <w:pStyle w:val="Heading1"/>
      </w:pPr>
      <w:r>
        <w:t xml:space="preserve">Allgemeine Geschäftsbedingungen</w:t>
      </w:r>
    </w:p>
    <w:bookmarkStart w:id="20" w:name="Xd8e980448bf3151928e7679a72fcd54ea6fc0ee"/>
    <w:p>
      <w:pPr>
        <w:pStyle w:val="Heading2"/>
      </w:pPr>
      <w:r>
        <w:t xml:space="preserve">für die Nutzung der WUXUAI SaaS-Plattform durch Unternehmer</w:t>
      </w:r>
    </w:p>
    <w:p>
      <w:pPr>
        <w:pStyle w:val="FirstParagraph"/>
      </w:pPr>
      <w:r>
        <w:rPr>
          <w:b/>
          <w:bCs/>
        </w:rPr>
        <w:t xml:space="preserve">Dokumenttyp:</w:t>
      </w:r>
      <w:r>
        <w:t xml:space="preserve"> </w:t>
      </w:r>
      <w:r>
        <w:t xml:space="preserve">B2B_SAAS_TERMS</w:t>
      </w:r>
      <w:r>
        <w:br/>
      </w:r>
      <w:r>
        <w:rPr>
          <w:b/>
          <w:bCs/>
        </w:rPr>
        <w:t xml:space="preserve">Version:</w:t>
      </w:r>
      <w:r>
        <w:t xml:space="preserve"> </w:t>
      </w:r>
      <w:r>
        <w:t xml:space="preserve">1.0-DRAFT</w:t>
      </w:r>
      <w:r>
        <w:br/>
      </w:r>
      <w:r>
        <w:rPr>
          <w:b/>
          <w:bCs/>
        </w:rPr>
        <w:t xml:space="preserve">Rechtsraum:</w:t>
      </w:r>
      <w:r>
        <w:t xml:space="preserve"> </w:t>
      </w:r>
      <w:r>
        <w:t xml:space="preserve">Österreich</w:t>
      </w:r>
      <w:r>
        <w:br/>
      </w:r>
      <w:r>
        <w:rPr>
          <w:b/>
          <w:bCs/>
        </w:rPr>
        <w:t xml:space="preserve">Anbieter:</w:t>
      </w:r>
      <w:r>
        <w:t xml:space="preserve"> </w:t>
      </w:r>
      <w:r>
        <w:t xml:space="preserve">WUXUAI GmbH</w:t>
      </w:r>
      <w:r>
        <w:br/>
      </w:r>
      <w:r>
        <w:rPr>
          <w:b/>
          <w:bCs/>
        </w:rPr>
        <w:t xml:space="preserve">Status:</w:t>
      </w:r>
      <w:r>
        <w:t xml:space="preserve"> </w:t>
      </w:r>
      <w:r>
        <w:t xml:space="preserve">Entwurf zur anwaltlichen und steuerlichen Prüfung</w:t>
      </w:r>
      <w:r>
        <w:br/>
      </w:r>
      <w:r>
        <w:rPr>
          <w:b/>
          <w:bCs/>
        </w:rPr>
        <w:t xml:space="preserve">Gültigkeit:</w:t>
      </w:r>
      <w:r>
        <w:t xml:space="preserve"> </w:t>
      </w:r>
      <w:r>
        <w:t xml:space="preserve">Ausschließlich gegenüber Unternehmern</w:t>
      </w:r>
    </w:p>
    <w:p>
      <w:r>
        <w:pict>
          <v:rect style="width:0;height:1.5pt" o:hralign="center" o:hrstd="t" o:hr="t"/>
        </w:pict>
      </w:r>
    </w:p>
    <w:bookmarkEnd w:id="20"/>
    <w:bookmarkEnd w:id="21"/>
    <w:bookmarkStart w:id="26" w:name="anbieter-und-vertragsgrundlage"/>
    <w:p>
      <w:pPr>
        <w:pStyle w:val="Heading1"/>
      </w:pPr>
      <w:r>
        <w:t xml:space="preserve">1. Anbieter und Vertragsgrundlage</w:t>
      </w:r>
    </w:p>
    <w:bookmarkStart w:id="22" w:name="anbieter"/>
    <w:p>
      <w:pPr>
        <w:pStyle w:val="Heading2"/>
      </w:pPr>
      <w:r>
        <w:t xml:space="preserve">1.1 Anbieter</w:t>
      </w:r>
    </w:p>
    <w:p>
      <w:pPr>
        <w:pStyle w:val="FirstParagraph"/>
      </w:pPr>
      <w:r>
        <w:t xml:space="preserve">Anbieter der WUXUAI SaaS-Plattform ist:</w:t>
      </w:r>
    </w:p>
    <w:p>
      <w:pPr>
        <w:pStyle w:val="BodyText"/>
      </w:pPr>
      <w:r>
        <w:rPr>
          <w:b/>
          <w:bCs/>
        </w:rPr>
        <w:t xml:space="preserve">WUXUAI GmbH</w:t>
      </w:r>
      <w:r>
        <w:br/>
      </w:r>
      <w:r>
        <w:t xml:space="preserve">[GESCHÄFTSANSCHRIFT]</w:t>
      </w:r>
      <w:r>
        <w:br/>
      </w:r>
      <w:r>
        <w:t xml:space="preserve">[PLZ, ORT]</w:t>
      </w:r>
      <w:r>
        <w:br/>
      </w:r>
      <w:r>
        <w:t xml:space="preserve">Österreich</w:t>
      </w:r>
    </w:p>
    <w:p>
      <w:pPr>
        <w:pStyle w:val="BodyText"/>
      </w:pPr>
      <w:r>
        <w:t xml:space="preserve">Firmenbuchnummer: [FIRMENBUCHNUMMER]</w:t>
      </w:r>
      <w:r>
        <w:br/>
      </w:r>
      <w:r>
        <w:t xml:space="preserve">Firmenbuchgericht: [FIRMENBUCHGERICHT]</w:t>
      </w:r>
      <w:r>
        <w:br/>
      </w:r>
      <w:r>
        <w:t xml:space="preserve">UID-Nummer: [UID-NUMMER]</w:t>
      </w:r>
      <w:r>
        <w:br/>
      </w:r>
      <w:r>
        <w:t xml:space="preserve">E-Mail: [VERTRAGS-EMAIL]</w:t>
      </w:r>
    </w:p>
    <w:p>
      <w:pPr>
        <w:pStyle w:val="BodyText"/>
      </w:pPr>
      <w:r>
        <w:t xml:space="preserve">nachfolgend „WUXUAI“.</w:t>
      </w:r>
    </w:p>
    <w:bookmarkEnd w:id="22"/>
    <w:bookmarkStart w:id="23" w:name="geltungsbereich"/>
    <w:p>
      <w:pPr>
        <w:pStyle w:val="Heading2"/>
      </w:pPr>
      <w:r>
        <w:t xml:space="preserve">1.2 Geltungsbereich</w:t>
      </w:r>
    </w:p>
    <w:p>
      <w:pPr>
        <w:pStyle w:val="FirstParagraph"/>
      </w:pPr>
      <w:r>
        <w:t xml:space="preserve">Diese Allgemeinen Geschäftsbedingungen gelten für sämtliche Verträge zwischen WUXUAI und Unternehmern über die Bereitstellung und Nutzung der WUXUAI SaaS-Plattform.</w:t>
      </w:r>
    </w:p>
    <w:p>
      <w:pPr>
        <w:pStyle w:val="BodyText"/>
      </w:pPr>
      <w:r>
        <w:t xml:space="preserve">Sie gelten insbesondere für:</w:t>
      </w:r>
    </w:p>
    <w:p>
      <w:pPr>
        <w:pStyle w:val="Compact"/>
        <w:numPr>
          <w:ilvl w:val="0"/>
          <w:numId w:val="1001"/>
        </w:numPr>
      </w:pPr>
      <w:r>
        <w:t xml:space="preserve">Restaurantunternehmen;</w:t>
      </w:r>
    </w:p>
    <w:p>
      <w:pPr>
        <w:pStyle w:val="Compact"/>
        <w:numPr>
          <w:ilvl w:val="0"/>
          <w:numId w:val="1001"/>
        </w:numPr>
      </w:pPr>
      <w:r>
        <w:t xml:space="preserve">Restaurantgruppen;</w:t>
      </w:r>
    </w:p>
    <w:p>
      <w:pPr>
        <w:pStyle w:val="Compact"/>
        <w:numPr>
          <w:ilvl w:val="0"/>
          <w:numId w:val="1001"/>
        </w:numPr>
      </w:pPr>
      <w:r>
        <w:t xml:space="preserve">Filialbetriebe;</w:t>
      </w:r>
    </w:p>
    <w:p>
      <w:pPr>
        <w:pStyle w:val="Compact"/>
        <w:numPr>
          <w:ilvl w:val="0"/>
          <w:numId w:val="1001"/>
        </w:numPr>
      </w:pPr>
      <w:r>
        <w:t xml:space="preserve">Cafés;</w:t>
      </w:r>
    </w:p>
    <w:p>
      <w:pPr>
        <w:pStyle w:val="Compact"/>
        <w:numPr>
          <w:ilvl w:val="0"/>
          <w:numId w:val="1001"/>
        </w:numPr>
      </w:pPr>
      <w:r>
        <w:t xml:space="preserve">Bäckereien;</w:t>
      </w:r>
    </w:p>
    <w:p>
      <w:pPr>
        <w:pStyle w:val="Compact"/>
        <w:numPr>
          <w:ilvl w:val="0"/>
          <w:numId w:val="1001"/>
        </w:numPr>
      </w:pPr>
      <w:r>
        <w:t xml:space="preserve">andere gewerbliche Nutzer der Plattform.</w:t>
      </w:r>
    </w:p>
    <w:p>
      <w:pPr>
        <w:pStyle w:val="FirstParagraph"/>
      </w:pPr>
      <w:r>
        <w:t xml:space="preserve">Der Vertragspartner wird nachfolgend „Kunde“ genannt.</w:t>
      </w:r>
    </w:p>
    <w:bookmarkEnd w:id="23"/>
    <w:bookmarkStart w:id="24" w:name="ausschluss-von-verbrauchern"/>
    <w:p>
      <w:pPr>
        <w:pStyle w:val="Heading2"/>
      </w:pPr>
      <w:r>
        <w:t xml:space="preserve">1.3 Ausschluss von Verbrauchern</w:t>
      </w:r>
    </w:p>
    <w:p>
      <w:pPr>
        <w:pStyle w:val="FirstParagraph"/>
      </w:pPr>
      <w:r>
        <w:t xml:space="preserve">Die Plattform wird auf Grundlage dieser AGB ausschließlich Unternehmern im Sinne des österreichischen Unternehmensrechts bereitgestellt.</w:t>
      </w:r>
    </w:p>
    <w:p>
      <w:pPr>
        <w:pStyle w:val="BodyText"/>
      </w:pPr>
      <w:r>
        <w:t xml:space="preserve">Eine natürliche Person, die den Vertrag nicht für ihre unternehmerische oder berufliche Tätigkeit abschließt, darf keinen Vertrag auf Grundlage dieser AGB abschließen.</w:t>
      </w:r>
    </w:p>
    <w:p>
      <w:pPr>
        <w:pStyle w:val="BodyText"/>
      </w:pPr>
      <w:r>
        <w:t xml:space="preserve">WUXUAI ist berechtigt, geeignete Nachweise der Unternehmereigenschaft zu verlangen.</w:t>
      </w:r>
    </w:p>
    <w:bookmarkEnd w:id="24"/>
    <w:bookmarkStart w:id="25" w:name="abweichende-bedingungen"/>
    <w:p>
      <w:pPr>
        <w:pStyle w:val="Heading2"/>
      </w:pPr>
      <w:r>
        <w:t xml:space="preserve">1.4 Abweichende Bedingungen</w:t>
      </w:r>
    </w:p>
    <w:p>
      <w:pPr>
        <w:pStyle w:val="FirstParagraph"/>
      </w:pPr>
      <w:r>
        <w:t xml:space="preserve">Abweichende Geschäftsbedingungen des Kunden gelten nur, wenn WUXUAI ihnen ausdrücklich in Textform zugestimmt hat.</w:t>
      </w:r>
    </w:p>
    <w:p>
      <w:pPr>
        <w:pStyle w:val="BodyText"/>
      </w:pPr>
      <w:r>
        <w:t xml:space="preserve">Die bloße Kenntnis fremder Geschäftsbedingungen oder die Leistungserbringung ohne ausdrücklichen Widerspruch gilt nicht als Zustimmung.</w:t>
      </w:r>
    </w:p>
    <w:p>
      <w:r>
        <w:pict>
          <v:rect style="width:0;height:1.5pt" o:hralign="center" o:hrstd="t" o:hr="t"/>
        </w:pict>
      </w:r>
    </w:p>
    <w:bookmarkEnd w:id="25"/>
    <w:bookmarkEnd w:id="26"/>
    <w:bookmarkStart w:id="27" w:name="definitionen"/>
    <w:p>
      <w:pPr>
        <w:pStyle w:val="Heading1"/>
      </w:pPr>
      <w:r>
        <w:t xml:space="preserve">2. Definitionen</w:t>
      </w:r>
    </w:p>
    <w:p>
      <w:pPr>
        <w:pStyle w:val="FirstParagraph"/>
      </w:pPr>
      <w:r>
        <w:t xml:space="preserve">Im Sinne dieser AGB bedeutet:</w:t>
      </w:r>
    </w:p>
    <w:p>
      <w:pPr>
        <w:pStyle w:val="BodyText"/>
      </w:pPr>
      <w:r>
        <w:rPr>
          <w:b/>
          <w:bCs/>
        </w:rPr>
        <w:t xml:space="preserve">„Plattform“</w:t>
      </w:r>
      <w:r>
        <w:br/>
      </w:r>
      <w:r>
        <w:t xml:space="preserve">die von WUXUAI bereitgestellte Software einschließlich Kundenportal, Owner-Portal, Mitarbeiterportal, Plattform-Admin, Datenbankfunktionen, Schnittstellen und ergänzender Dienste.</w:t>
      </w:r>
    </w:p>
    <w:p>
      <w:pPr>
        <w:pStyle w:val="BodyText"/>
      </w:pPr>
      <w:r>
        <w:rPr>
          <w:b/>
          <w:bCs/>
        </w:rPr>
        <w:t xml:space="preserve">„Restaurant“</w:t>
      </w:r>
      <w:r>
        <w:br/>
      </w:r>
      <w:r>
        <w:t xml:space="preserve">der Kunde oder eine von ihm verwaltete Betriebsstätte, Filiale oder Marke.</w:t>
      </w:r>
    </w:p>
    <w:p>
      <w:pPr>
        <w:pStyle w:val="BodyText"/>
      </w:pPr>
      <w:r>
        <w:rPr>
          <w:b/>
          <w:bCs/>
        </w:rPr>
        <w:t xml:space="preserve">„Owner“</w:t>
      </w:r>
      <w:r>
        <w:br/>
      </w:r>
      <w:r>
        <w:t xml:space="preserve">eine vom Kunden autorisierte Person mit erweiterten Administrationsrechten.</w:t>
      </w:r>
    </w:p>
    <w:p>
      <w:pPr>
        <w:pStyle w:val="BodyText"/>
      </w:pPr>
      <w:r>
        <w:rPr>
          <w:b/>
          <w:bCs/>
        </w:rPr>
        <w:t xml:space="preserve">„Mitarbeiter“</w:t>
      </w:r>
      <w:r>
        <w:br/>
      </w:r>
      <w:r>
        <w:t xml:space="preserve">eine vom Kunden zur operativen Nutzung eingeladene Person.</w:t>
      </w:r>
    </w:p>
    <w:p>
      <w:pPr>
        <w:pStyle w:val="BodyText"/>
      </w:pPr>
      <w:r>
        <w:rPr>
          <w:b/>
          <w:bCs/>
        </w:rPr>
        <w:t xml:space="preserve">„Gast“ oder „Programmteilnehmer“</w:t>
      </w:r>
      <w:r>
        <w:br/>
      </w:r>
      <w:r>
        <w:t xml:space="preserve">eine Person, die am Bonusprogramm eines Kunden teilnimmt.</w:t>
      </w:r>
    </w:p>
    <w:p>
      <w:pPr>
        <w:pStyle w:val="BodyText"/>
      </w:pPr>
      <w:r>
        <w:rPr>
          <w:b/>
          <w:bCs/>
        </w:rPr>
        <w:t xml:space="preserve">„Bonusprogramm“</w:t>
      </w:r>
      <w:r>
        <w:br/>
      </w:r>
      <w:r>
        <w:t xml:space="preserve">das vom Kunden mithilfe der Plattform eingerichtete Kundenbindungsprogramm.</w:t>
      </w:r>
    </w:p>
    <w:p>
      <w:pPr>
        <w:pStyle w:val="BodyText"/>
      </w:pPr>
      <w:r>
        <w:rPr>
          <w:b/>
          <w:bCs/>
        </w:rPr>
        <w:t xml:space="preserve">„Punkte“</w:t>
      </w:r>
      <w:r>
        <w:br/>
      </w:r>
      <w:r>
        <w:t xml:space="preserve">vom Kunden nach seinen Programmbedingungen gewährte, restaurantbezogene Bonuspunkte.</w:t>
      </w:r>
    </w:p>
    <w:p>
      <w:pPr>
        <w:pStyle w:val="BodyText"/>
      </w:pPr>
      <w:r>
        <w:rPr>
          <w:b/>
          <w:bCs/>
        </w:rPr>
        <w:t xml:space="preserve">„Reward“</w:t>
      </w:r>
      <w:r>
        <w:br/>
      </w:r>
      <w:r>
        <w:t xml:space="preserve">eine vom Kunden angebotene Vergünstigung, Ware, gastronomische Leistung oder sonstige Belohnung.</w:t>
      </w:r>
    </w:p>
    <w:p>
      <w:pPr>
        <w:pStyle w:val="BodyText"/>
      </w:pPr>
      <w:r>
        <w:rPr>
          <w:b/>
          <w:bCs/>
        </w:rPr>
        <w:t xml:space="preserve">„Filiale“</w:t>
      </w:r>
      <w:r>
        <w:br/>
      </w:r>
      <w:r>
        <w:t xml:space="preserve">eine organisatorisch oder räumlich zugeordnete Betriebsstätte des Kunden.</w:t>
      </w:r>
    </w:p>
    <w:p>
      <w:pPr>
        <w:pStyle w:val="BodyText"/>
      </w:pPr>
      <w:r>
        <w:rPr>
          <w:b/>
          <w:bCs/>
        </w:rPr>
        <w:t xml:space="preserve">„Kundendaten“</w:t>
      </w:r>
      <w:r>
        <w:br/>
      </w:r>
      <w:r>
        <w:t xml:space="preserve">Daten, Inhalte und Informationen, die der Kunde oder seine Nutzer in die Plattform eingeben oder durch die Nutzung erzeugen.</w:t>
      </w:r>
    </w:p>
    <w:p>
      <w:pPr>
        <w:pStyle w:val="BodyText"/>
      </w:pPr>
      <w:r>
        <w:rPr>
          <w:b/>
          <w:bCs/>
        </w:rPr>
        <w:t xml:space="preserve">„Vertragsdokumente“</w:t>
      </w:r>
      <w:r>
        <w:br/>
      </w:r>
      <w:r>
        <w:t xml:space="preserve">Bestellformular, individuelles Angebot, Leistungsbeschreibung, diese AGB, Auftragsverarbeitungsvertrag und vereinbarte Anlagen.</w:t>
      </w:r>
    </w:p>
    <w:p>
      <w:r>
        <w:pict>
          <v:rect style="width:0;height:1.5pt" o:hralign="center" o:hrstd="t" o:hr="t"/>
        </w:pict>
      </w:r>
    </w:p>
    <w:bookmarkEnd w:id="27"/>
    <w:bookmarkStart w:id="32" w:name="vertragsabschluss"/>
    <w:p>
      <w:pPr>
        <w:pStyle w:val="Heading1"/>
      </w:pPr>
      <w:r>
        <w:t xml:space="preserve">3. Vertragsabschluss</w:t>
      </w:r>
    </w:p>
    <w:bookmarkStart w:id="28" w:name="angebot-und-annahme"/>
    <w:p>
      <w:pPr>
        <w:pStyle w:val="Heading2"/>
      </w:pPr>
      <w:r>
        <w:t xml:space="preserve">3.1 Angebot und Annahme</w:t>
      </w:r>
    </w:p>
    <w:p>
      <w:pPr>
        <w:pStyle w:val="FirstParagraph"/>
      </w:pPr>
      <w:r>
        <w:t xml:space="preserve">Ein Vertrag kommt zustande durch:</w:t>
      </w:r>
    </w:p>
    <w:p>
      <w:pPr>
        <w:pStyle w:val="Compact"/>
        <w:numPr>
          <w:ilvl w:val="0"/>
          <w:numId w:val="1002"/>
        </w:numPr>
      </w:pPr>
      <w:r>
        <w:t xml:space="preserve">Unterzeichnung eines Angebots oder Bestellformulars;</w:t>
      </w:r>
    </w:p>
    <w:p>
      <w:pPr>
        <w:pStyle w:val="Compact"/>
        <w:numPr>
          <w:ilvl w:val="0"/>
          <w:numId w:val="1002"/>
        </w:numPr>
      </w:pPr>
      <w:r>
        <w:t xml:space="preserve">elektronische Annahme im Bestellprozess;</w:t>
      </w:r>
    </w:p>
    <w:p>
      <w:pPr>
        <w:pStyle w:val="Compact"/>
        <w:numPr>
          <w:ilvl w:val="0"/>
          <w:numId w:val="1002"/>
        </w:numPr>
      </w:pPr>
      <w:r>
        <w:t xml:space="preserve">ausdrückliche Auftragsbestätigung durch WUXUAI; oder</w:t>
      </w:r>
    </w:p>
    <w:p>
      <w:pPr>
        <w:pStyle w:val="Compact"/>
        <w:numPr>
          <w:ilvl w:val="0"/>
          <w:numId w:val="1002"/>
        </w:numPr>
      </w:pPr>
      <w:r>
        <w:t xml:space="preserve">individuelle schriftliche Vereinbarung.</w:t>
      </w:r>
    </w:p>
    <w:p>
      <w:pPr>
        <w:pStyle w:val="FirstParagraph"/>
      </w:pPr>
      <w:r>
        <w:t xml:space="preserve">Die bloße Registrierung für eine unverbindliche Produktdemonstration begründet noch keinen entgeltlichen Vertrag.</w:t>
      </w:r>
    </w:p>
    <w:bookmarkEnd w:id="28"/>
    <w:bookmarkStart w:id="29" w:name="elektronischer-vertragsabschluss"/>
    <w:p>
      <w:pPr>
        <w:pStyle w:val="Heading2"/>
      </w:pPr>
      <w:r>
        <w:t xml:space="preserve">3.2 Elektronischer Vertragsabschluss</w:t>
      </w:r>
    </w:p>
    <w:p>
      <w:pPr>
        <w:pStyle w:val="FirstParagraph"/>
      </w:pPr>
      <w:r>
        <w:t xml:space="preserve">Vor Abgabe der verbindlichen Vertragserklärung werden dem Kunden insbesondere angezeigt:</w:t>
      </w:r>
    </w:p>
    <w:p>
      <w:pPr>
        <w:pStyle w:val="Compact"/>
        <w:numPr>
          <w:ilvl w:val="0"/>
          <w:numId w:val="1003"/>
        </w:numPr>
      </w:pPr>
      <w:r>
        <w:t xml:space="preserve">der gewählte Tarif;</w:t>
      </w:r>
    </w:p>
    <w:p>
      <w:pPr>
        <w:pStyle w:val="Compact"/>
        <w:numPr>
          <w:ilvl w:val="0"/>
          <w:numId w:val="1003"/>
        </w:numPr>
      </w:pPr>
      <w:r>
        <w:t xml:space="preserve">der Preis;</w:t>
      </w:r>
    </w:p>
    <w:p>
      <w:pPr>
        <w:pStyle w:val="Compact"/>
        <w:numPr>
          <w:ilvl w:val="0"/>
          <w:numId w:val="1003"/>
        </w:numPr>
      </w:pPr>
      <w:r>
        <w:t xml:space="preserve">das Abrechnungsintervall;</w:t>
      </w:r>
    </w:p>
    <w:p>
      <w:pPr>
        <w:pStyle w:val="Compact"/>
        <w:numPr>
          <w:ilvl w:val="0"/>
          <w:numId w:val="1003"/>
        </w:numPr>
      </w:pPr>
      <w:r>
        <w:t xml:space="preserve">die Vertragslaufzeit;</w:t>
      </w:r>
    </w:p>
    <w:p>
      <w:pPr>
        <w:pStyle w:val="Compact"/>
        <w:numPr>
          <w:ilvl w:val="0"/>
          <w:numId w:val="1003"/>
        </w:numPr>
      </w:pPr>
      <w:r>
        <w:t xml:space="preserve">die Kündigungsregel;</w:t>
      </w:r>
    </w:p>
    <w:p>
      <w:pPr>
        <w:pStyle w:val="Compact"/>
        <w:numPr>
          <w:ilvl w:val="0"/>
          <w:numId w:val="1003"/>
        </w:numPr>
      </w:pPr>
      <w:r>
        <w:t xml:space="preserve">die einbezogenen Vertragsdokumente;</w:t>
      </w:r>
    </w:p>
    <w:p>
      <w:pPr>
        <w:pStyle w:val="Compact"/>
        <w:numPr>
          <w:ilvl w:val="0"/>
          <w:numId w:val="1003"/>
        </w:numPr>
      </w:pPr>
      <w:r>
        <w:t xml:space="preserve">die technischen Schritte zum Vertragsabschluss;</w:t>
      </w:r>
    </w:p>
    <w:p>
      <w:pPr>
        <w:pStyle w:val="Compact"/>
        <w:numPr>
          <w:ilvl w:val="0"/>
          <w:numId w:val="1003"/>
        </w:numPr>
      </w:pPr>
      <w:r>
        <w:t xml:space="preserve">Möglichkeiten zur Korrektur von Eingabefehlern;</w:t>
      </w:r>
    </w:p>
    <w:p>
      <w:pPr>
        <w:pStyle w:val="Compact"/>
        <w:numPr>
          <w:ilvl w:val="0"/>
          <w:numId w:val="1003"/>
        </w:numPr>
      </w:pPr>
      <w:r>
        <w:t xml:space="preserve">die Information, ob und wie der Vertragstext gespeichert wird.</w:t>
      </w:r>
    </w:p>
    <w:bookmarkEnd w:id="29"/>
    <w:bookmarkStart w:id="30" w:name="vertretungsbefugnis"/>
    <w:p>
      <w:pPr>
        <w:pStyle w:val="Heading2"/>
      </w:pPr>
      <w:r>
        <w:t xml:space="preserve">3.3 Vertretungsbefugnis</w:t>
      </w:r>
    </w:p>
    <w:p>
      <w:pPr>
        <w:pStyle w:val="FirstParagraph"/>
      </w:pPr>
      <w:r>
        <w:t xml:space="preserve">Die den Vertrag abschließende Person bestätigt, zur Vertretung des Kunden oder zum Abschluss des Vertrags ausreichend bevollmächtigt zu sein.</w:t>
      </w:r>
    </w:p>
    <w:p>
      <w:pPr>
        <w:pStyle w:val="BodyText"/>
      </w:pPr>
      <w:r>
        <w:t xml:space="preserve">WUXUAI darf einen Nachweis der Vertretungsbefugnis verlangen.</w:t>
      </w:r>
    </w:p>
    <w:bookmarkEnd w:id="30"/>
    <w:bookmarkStart w:id="31" w:name="speicherung"/>
    <w:p>
      <w:pPr>
        <w:pStyle w:val="Heading2"/>
      </w:pPr>
      <w:r>
        <w:t xml:space="preserve">3.4 Speicherung</w:t>
      </w:r>
    </w:p>
    <w:p>
      <w:pPr>
        <w:pStyle w:val="FirstParagraph"/>
      </w:pPr>
      <w:r>
        <w:t xml:space="preserve">WUXUAI speichert die für den Vertragsnachweis erforderlichen Vertragsdaten und Dokumentversionen entsprechend den gesetzlichen und vertraglichen Anforderungen.</w:t>
      </w:r>
    </w:p>
    <w:p>
      <w:pPr>
        <w:pStyle w:val="BodyText"/>
      </w:pPr>
      <w:r>
        <w:t xml:space="preserve">Der Kunde erhält die Vertragsunterlagen elektronisch oder kann sie im Vertragsbereich abrufen.</w:t>
      </w:r>
    </w:p>
    <w:p>
      <w:r>
        <w:pict>
          <v:rect style="width:0;height:1.5pt" o:hralign="center" o:hrstd="t" o:hr="t"/>
        </w:pict>
      </w:r>
    </w:p>
    <w:bookmarkEnd w:id="31"/>
    <w:bookmarkEnd w:id="32"/>
    <w:bookmarkStart w:id="37" w:name="vertragsgegenstand"/>
    <w:p>
      <w:pPr>
        <w:pStyle w:val="Heading1"/>
      </w:pPr>
      <w:r>
        <w:t xml:space="preserve">4. Vertragsgegenstand</w:t>
      </w:r>
    </w:p>
    <w:bookmarkStart w:id="33" w:name="saas-leistung"/>
    <w:p>
      <w:pPr>
        <w:pStyle w:val="Heading2"/>
      </w:pPr>
      <w:r>
        <w:t xml:space="preserve">4.1 SaaS-Leistung</w:t>
      </w:r>
    </w:p>
    <w:p>
      <w:pPr>
        <w:pStyle w:val="FirstParagraph"/>
      </w:pPr>
      <w:r>
        <w:t xml:space="preserve">WUXUAI stellt dem Kunden für die Vertragsdauer einen technisch erreichbaren Zugang zur Plattform zur Verfügung.</w:t>
      </w:r>
    </w:p>
    <w:p>
      <w:pPr>
        <w:pStyle w:val="BodyText"/>
      </w:pPr>
      <w:r>
        <w:t xml:space="preserve">Der konkrete Funktionsumfang ergibt sich aus:</w:t>
      </w:r>
    </w:p>
    <w:p>
      <w:pPr>
        <w:pStyle w:val="Compact"/>
        <w:numPr>
          <w:ilvl w:val="0"/>
          <w:numId w:val="1004"/>
        </w:numPr>
      </w:pPr>
      <w:r>
        <w:t xml:space="preserve">dem Bestellformular oder Angebot;</w:t>
      </w:r>
    </w:p>
    <w:p>
      <w:pPr>
        <w:pStyle w:val="Compact"/>
        <w:numPr>
          <w:ilvl w:val="0"/>
          <w:numId w:val="1004"/>
        </w:numPr>
      </w:pPr>
      <w:r>
        <w:t xml:space="preserve">der Leistungsbeschreibung;</w:t>
      </w:r>
    </w:p>
    <w:p>
      <w:pPr>
        <w:pStyle w:val="Compact"/>
        <w:numPr>
          <w:ilvl w:val="0"/>
          <w:numId w:val="1004"/>
        </w:numPr>
      </w:pPr>
      <w:r>
        <w:t xml:space="preserve">dem gebuchten Tarif;</w:t>
      </w:r>
    </w:p>
    <w:p>
      <w:pPr>
        <w:pStyle w:val="Compact"/>
        <w:numPr>
          <w:ilvl w:val="0"/>
          <w:numId w:val="1004"/>
        </w:numPr>
      </w:pPr>
      <w:r>
        <w:t xml:space="preserve">diesen AGB.</w:t>
      </w:r>
    </w:p>
    <w:bookmarkEnd w:id="33"/>
    <w:bookmarkStart w:id="34" w:name="typische-funktionen"/>
    <w:p>
      <w:pPr>
        <w:pStyle w:val="Heading2"/>
      </w:pPr>
      <w:r>
        <w:t xml:space="preserve">4.2 Typische Funktionen</w:t>
      </w:r>
    </w:p>
    <w:p>
      <w:pPr>
        <w:pStyle w:val="FirstParagraph"/>
      </w:pPr>
      <w:r>
        <w:t xml:space="preserve">Je nach Tarif können insbesondere umfasst sein:</w:t>
      </w:r>
    </w:p>
    <w:p>
      <w:pPr>
        <w:pStyle w:val="Compact"/>
        <w:numPr>
          <w:ilvl w:val="0"/>
          <w:numId w:val="1005"/>
        </w:numPr>
      </w:pPr>
      <w:r>
        <w:t xml:space="preserve">Restaurant- und Filialverwaltung;</w:t>
      </w:r>
    </w:p>
    <w:p>
      <w:pPr>
        <w:pStyle w:val="Compact"/>
        <w:numPr>
          <w:ilvl w:val="0"/>
          <w:numId w:val="1005"/>
        </w:numPr>
      </w:pPr>
      <w:r>
        <w:t xml:space="preserve">Owner- und Mitarbeiterkonten;</w:t>
      </w:r>
    </w:p>
    <w:p>
      <w:pPr>
        <w:pStyle w:val="Compact"/>
        <w:numPr>
          <w:ilvl w:val="0"/>
          <w:numId w:val="1005"/>
        </w:numPr>
      </w:pPr>
      <w:r>
        <w:t xml:space="preserve">QR-basierte Gastregistrierung;</w:t>
      </w:r>
    </w:p>
    <w:p>
      <w:pPr>
        <w:pStyle w:val="Compact"/>
        <w:numPr>
          <w:ilvl w:val="0"/>
          <w:numId w:val="1005"/>
        </w:numPr>
      </w:pPr>
      <w:r>
        <w:t xml:space="preserve">Punktebuchung;</w:t>
      </w:r>
    </w:p>
    <w:p>
      <w:pPr>
        <w:pStyle w:val="Compact"/>
        <w:numPr>
          <w:ilvl w:val="0"/>
          <w:numId w:val="1005"/>
        </w:numPr>
      </w:pPr>
      <w:r>
        <w:t xml:space="preserve">Tages-PIN-System;</w:t>
      </w:r>
    </w:p>
    <w:p>
      <w:pPr>
        <w:pStyle w:val="Compact"/>
        <w:numPr>
          <w:ilvl w:val="0"/>
          <w:numId w:val="1005"/>
        </w:numPr>
      </w:pPr>
      <w:r>
        <w:t xml:space="preserve">Rewardverwaltung;</w:t>
      </w:r>
    </w:p>
    <w:p>
      <w:pPr>
        <w:pStyle w:val="Compact"/>
        <w:numPr>
          <w:ilvl w:val="0"/>
          <w:numId w:val="1005"/>
        </w:numPr>
      </w:pPr>
      <w:r>
        <w:t xml:space="preserve">Reward-Einlösung;</w:t>
      </w:r>
    </w:p>
    <w:p>
      <w:pPr>
        <w:pStyle w:val="Compact"/>
        <w:numPr>
          <w:ilvl w:val="0"/>
          <w:numId w:val="1005"/>
        </w:numPr>
      </w:pPr>
      <w:r>
        <w:t xml:space="preserve">Kundenportal;</w:t>
      </w:r>
    </w:p>
    <w:p>
      <w:pPr>
        <w:pStyle w:val="Compact"/>
        <w:numPr>
          <w:ilvl w:val="0"/>
          <w:numId w:val="1005"/>
        </w:numPr>
      </w:pPr>
      <w:r>
        <w:t xml:space="preserve">Legal Center;</w:t>
      </w:r>
    </w:p>
    <w:p>
      <w:pPr>
        <w:pStyle w:val="Compact"/>
        <w:numPr>
          <w:ilvl w:val="0"/>
          <w:numId w:val="1005"/>
        </w:numPr>
      </w:pPr>
      <w:r>
        <w:t xml:space="preserve">Consent-Verwaltung;</w:t>
      </w:r>
    </w:p>
    <w:p>
      <w:pPr>
        <w:pStyle w:val="Compact"/>
        <w:numPr>
          <w:ilvl w:val="0"/>
          <w:numId w:val="1005"/>
        </w:numPr>
      </w:pPr>
      <w:r>
        <w:t xml:space="preserve">Datenschutzanfragen;</w:t>
      </w:r>
    </w:p>
    <w:p>
      <w:pPr>
        <w:pStyle w:val="Compact"/>
        <w:numPr>
          <w:ilvl w:val="0"/>
          <w:numId w:val="1005"/>
        </w:numPr>
      </w:pPr>
      <w:r>
        <w:t xml:space="preserve">Auditfunktionen;</w:t>
      </w:r>
    </w:p>
    <w:p>
      <w:pPr>
        <w:pStyle w:val="Compact"/>
        <w:numPr>
          <w:ilvl w:val="0"/>
          <w:numId w:val="1005"/>
        </w:numPr>
      </w:pPr>
      <w:r>
        <w:t xml:space="preserve">Reports;</w:t>
      </w:r>
    </w:p>
    <w:p>
      <w:pPr>
        <w:pStyle w:val="Compact"/>
        <w:numPr>
          <w:ilvl w:val="0"/>
          <w:numId w:val="1005"/>
        </w:numPr>
      </w:pPr>
      <w:r>
        <w:t xml:space="preserve">Restaurant-Finder;</w:t>
      </w:r>
    </w:p>
    <w:p>
      <w:pPr>
        <w:pStyle w:val="Compact"/>
        <w:numPr>
          <w:ilvl w:val="0"/>
          <w:numId w:val="1005"/>
        </w:numPr>
      </w:pPr>
      <w:r>
        <w:t xml:space="preserve">Supportfunktionen.</w:t>
      </w:r>
    </w:p>
    <w:bookmarkEnd w:id="34"/>
    <w:bookmarkStart w:id="35" w:name="kein-bestimmter-wirtschaftlicher-erfolg"/>
    <w:p>
      <w:pPr>
        <w:pStyle w:val="Heading2"/>
      </w:pPr>
      <w:r>
        <w:t xml:space="preserve">4.3 Kein bestimmter wirtschaftlicher Erfolg</w:t>
      </w:r>
    </w:p>
    <w:p>
      <w:pPr>
        <w:pStyle w:val="FirstParagraph"/>
      </w:pPr>
      <w:r>
        <w:t xml:space="preserve">WUXUAI schuldet die vereinbarte technische Bereitstellung der Plattform, nicht jedoch:</w:t>
      </w:r>
    </w:p>
    <w:p>
      <w:pPr>
        <w:pStyle w:val="Compact"/>
        <w:numPr>
          <w:ilvl w:val="0"/>
          <w:numId w:val="1006"/>
        </w:numPr>
      </w:pPr>
      <w:r>
        <w:t xml:space="preserve">eine bestimmte Anzahl neuer Gäste;</w:t>
      </w:r>
    </w:p>
    <w:p>
      <w:pPr>
        <w:pStyle w:val="Compact"/>
        <w:numPr>
          <w:ilvl w:val="0"/>
          <w:numId w:val="1006"/>
        </w:numPr>
      </w:pPr>
      <w:r>
        <w:t xml:space="preserve">einen bestimmten Umsatz;</w:t>
      </w:r>
    </w:p>
    <w:p>
      <w:pPr>
        <w:pStyle w:val="Compact"/>
        <w:numPr>
          <w:ilvl w:val="0"/>
          <w:numId w:val="1006"/>
        </w:numPr>
      </w:pPr>
      <w:r>
        <w:t xml:space="preserve">eine bestimmte Wiederkehrrate;</w:t>
      </w:r>
    </w:p>
    <w:p>
      <w:pPr>
        <w:pStyle w:val="Compact"/>
        <w:numPr>
          <w:ilvl w:val="0"/>
          <w:numId w:val="1006"/>
        </w:numPr>
      </w:pPr>
      <w:r>
        <w:t xml:space="preserve">eine bestimmte Marketingwirkung;</w:t>
      </w:r>
    </w:p>
    <w:p>
      <w:pPr>
        <w:pStyle w:val="Compact"/>
        <w:numPr>
          <w:ilvl w:val="0"/>
          <w:numId w:val="1006"/>
        </w:numPr>
      </w:pPr>
      <w:r>
        <w:t xml:space="preserve">eine bestimmte Einlösequote;</w:t>
      </w:r>
    </w:p>
    <w:p>
      <w:pPr>
        <w:pStyle w:val="Compact"/>
        <w:numPr>
          <w:ilvl w:val="0"/>
          <w:numId w:val="1006"/>
        </w:numPr>
      </w:pPr>
      <w:r>
        <w:t xml:space="preserve">eine bestimmte Gewinnsteigerung.</w:t>
      </w:r>
    </w:p>
    <w:bookmarkEnd w:id="35"/>
    <w:bookmarkStart w:id="36" w:name="Xf48215781599aab48a129e655988ce1bf41cd27"/>
    <w:p>
      <w:pPr>
        <w:pStyle w:val="Heading2"/>
      </w:pPr>
      <w:r>
        <w:t xml:space="preserve">4.4 Keine individuelle Rechts- oder Steuerberatung</w:t>
      </w:r>
    </w:p>
    <w:p>
      <w:pPr>
        <w:pStyle w:val="FirstParagraph"/>
      </w:pPr>
      <w:r>
        <w:t xml:space="preserve">Technische Vorlagen, Hinweise, Standardwerte, Berichte oder Empfehlungen von WUXUAI ersetzen keine individuelle:</w:t>
      </w:r>
    </w:p>
    <w:p>
      <w:pPr>
        <w:pStyle w:val="Compact"/>
        <w:numPr>
          <w:ilvl w:val="0"/>
          <w:numId w:val="1007"/>
        </w:numPr>
      </w:pPr>
      <w:r>
        <w:t xml:space="preserve">Rechtsberatung;</w:t>
      </w:r>
    </w:p>
    <w:p>
      <w:pPr>
        <w:pStyle w:val="Compact"/>
        <w:numPr>
          <w:ilvl w:val="0"/>
          <w:numId w:val="1007"/>
        </w:numPr>
      </w:pPr>
      <w:r>
        <w:t xml:space="preserve">Steuerberatung;</w:t>
      </w:r>
    </w:p>
    <w:p>
      <w:pPr>
        <w:pStyle w:val="Compact"/>
        <w:numPr>
          <w:ilvl w:val="0"/>
          <w:numId w:val="1007"/>
        </w:numPr>
      </w:pPr>
      <w:r>
        <w:t xml:space="preserve">Buchhaltungsberatung;</w:t>
      </w:r>
    </w:p>
    <w:p>
      <w:pPr>
        <w:pStyle w:val="Compact"/>
        <w:numPr>
          <w:ilvl w:val="0"/>
          <w:numId w:val="1007"/>
        </w:numPr>
      </w:pPr>
      <w:r>
        <w:t xml:space="preserve">Unternehmensberatung;</w:t>
      </w:r>
    </w:p>
    <w:p>
      <w:pPr>
        <w:pStyle w:val="Compact"/>
        <w:numPr>
          <w:ilvl w:val="0"/>
          <w:numId w:val="1007"/>
        </w:numPr>
      </w:pPr>
      <w:r>
        <w:t xml:space="preserve">behördliche Genehmigung.</w:t>
      </w:r>
    </w:p>
    <w:p>
      <w:pPr>
        <w:pStyle w:val="FirstParagraph"/>
      </w:pPr>
      <w:r>
        <w:t xml:space="preserve">Der Kunde bleibt dafür verantwortlich, die rechtliche und steuerliche Zulässigkeit seines Bonusprogramms und seiner konkreten Einstellungen prüfen zu lassen.</w:t>
      </w:r>
    </w:p>
    <w:p>
      <w:r>
        <w:pict>
          <v:rect style="width:0;height:1.5pt" o:hralign="center" o:hrstd="t" o:hr="t"/>
        </w:pict>
      </w:r>
    </w:p>
    <w:bookmarkEnd w:id="36"/>
    <w:bookmarkEnd w:id="37"/>
    <w:bookmarkStart w:id="42" w:name="bonusprogramm-und-rolle-des-kunden"/>
    <w:p>
      <w:pPr>
        <w:pStyle w:val="Heading1"/>
      </w:pPr>
      <w:r>
        <w:t xml:space="preserve">5. Bonusprogramm und Rolle des Kunden</w:t>
      </w:r>
    </w:p>
    <w:bookmarkStart w:id="38" w:name="eigenes-programm-des-kunden"/>
    <w:p>
      <w:pPr>
        <w:pStyle w:val="Heading2"/>
      </w:pPr>
      <w:r>
        <w:t xml:space="preserve">5.1 Eigenes Programm des Kunden</w:t>
      </w:r>
    </w:p>
    <w:p>
      <w:pPr>
        <w:pStyle w:val="FirstParagraph"/>
      </w:pPr>
      <w:r>
        <w:t xml:space="preserve">Das über die Plattform eingerichtete Bonusprogramm wird vom Kunden in eigenem Namen und auf eigene wirtschaftliche Verantwortung betrieben.</w:t>
      </w:r>
    </w:p>
    <w:p>
      <w:pPr>
        <w:pStyle w:val="BodyText"/>
      </w:pPr>
      <w:r>
        <w:t xml:space="preserve">Der Kunde bestimmt insbesondere:</w:t>
      </w:r>
    </w:p>
    <w:p>
      <w:pPr>
        <w:pStyle w:val="Compact"/>
        <w:numPr>
          <w:ilvl w:val="0"/>
          <w:numId w:val="1008"/>
        </w:numPr>
      </w:pPr>
      <w:r>
        <w:t xml:space="preserve">Teilnahmebedingungen;</w:t>
      </w:r>
    </w:p>
    <w:p>
      <w:pPr>
        <w:pStyle w:val="Compact"/>
        <w:numPr>
          <w:ilvl w:val="0"/>
          <w:numId w:val="1008"/>
        </w:numPr>
      </w:pPr>
      <w:r>
        <w:t xml:space="preserve">Punkteberechnung;</w:t>
      </w:r>
    </w:p>
    <w:p>
      <w:pPr>
        <w:pStyle w:val="Compact"/>
        <w:numPr>
          <w:ilvl w:val="0"/>
          <w:numId w:val="1008"/>
        </w:numPr>
      </w:pPr>
      <w:r>
        <w:t xml:space="preserve">Punktegültigkeit;</w:t>
      </w:r>
    </w:p>
    <w:p>
      <w:pPr>
        <w:pStyle w:val="Compact"/>
        <w:numPr>
          <w:ilvl w:val="0"/>
          <w:numId w:val="1008"/>
        </w:numPr>
      </w:pPr>
      <w:r>
        <w:t xml:space="preserve">Rewardangebot;</w:t>
      </w:r>
    </w:p>
    <w:p>
      <w:pPr>
        <w:pStyle w:val="Compact"/>
        <w:numPr>
          <w:ilvl w:val="0"/>
          <w:numId w:val="1008"/>
        </w:numPr>
      </w:pPr>
      <w:r>
        <w:t xml:space="preserve">Rewardschwellen;</w:t>
      </w:r>
    </w:p>
    <w:p>
      <w:pPr>
        <w:pStyle w:val="Compact"/>
        <w:numPr>
          <w:ilvl w:val="0"/>
          <w:numId w:val="1008"/>
        </w:numPr>
      </w:pPr>
      <w:r>
        <w:t xml:space="preserve">Einlösebedingungen;</w:t>
      </w:r>
    </w:p>
    <w:p>
      <w:pPr>
        <w:pStyle w:val="Compact"/>
        <w:numPr>
          <w:ilvl w:val="0"/>
          <w:numId w:val="1008"/>
        </w:numPr>
      </w:pPr>
      <w:r>
        <w:t xml:space="preserve">teilnehmende Filialen;</w:t>
      </w:r>
    </w:p>
    <w:p>
      <w:pPr>
        <w:pStyle w:val="Compact"/>
        <w:numPr>
          <w:ilvl w:val="0"/>
          <w:numId w:val="1008"/>
        </w:numPr>
      </w:pPr>
      <w:r>
        <w:t xml:space="preserve">Ausschlüsse;</w:t>
      </w:r>
    </w:p>
    <w:p>
      <w:pPr>
        <w:pStyle w:val="Compact"/>
        <w:numPr>
          <w:ilvl w:val="0"/>
          <w:numId w:val="1008"/>
        </w:numPr>
      </w:pPr>
      <w:r>
        <w:t xml:space="preserve">Marketinginhalte;</w:t>
      </w:r>
    </w:p>
    <w:p>
      <w:pPr>
        <w:pStyle w:val="Compact"/>
        <w:numPr>
          <w:ilvl w:val="0"/>
          <w:numId w:val="1008"/>
        </w:numPr>
      </w:pPr>
      <w:r>
        <w:t xml:space="preserve">Änderung und Beendigung des Programms.</w:t>
      </w:r>
    </w:p>
    <w:bookmarkEnd w:id="38"/>
    <w:bookmarkStart w:id="39" w:name="wuxuai-als-technischer-anbieter"/>
    <w:p>
      <w:pPr>
        <w:pStyle w:val="Heading2"/>
      </w:pPr>
      <w:r>
        <w:t xml:space="preserve">5.2 WUXUAI als technischer Anbieter</w:t>
      </w:r>
    </w:p>
    <w:p>
      <w:pPr>
        <w:pStyle w:val="FirstParagraph"/>
      </w:pPr>
      <w:r>
        <w:t xml:space="preserve">WUXUAI stellt die technische Infrastruktur bereit.</w:t>
      </w:r>
    </w:p>
    <w:p>
      <w:pPr>
        <w:pStyle w:val="BodyText"/>
      </w:pPr>
      <w:r>
        <w:t xml:space="preserve">WUXUAI ist grundsätzlich nicht:</w:t>
      </w:r>
    </w:p>
    <w:p>
      <w:pPr>
        <w:pStyle w:val="Compact"/>
        <w:numPr>
          <w:ilvl w:val="0"/>
          <w:numId w:val="1009"/>
        </w:numPr>
      </w:pPr>
      <w:r>
        <w:t xml:space="preserve">Anbieter der gastronomischen Leistung;</w:t>
      </w:r>
    </w:p>
    <w:p>
      <w:pPr>
        <w:pStyle w:val="Compact"/>
        <w:numPr>
          <w:ilvl w:val="0"/>
          <w:numId w:val="1009"/>
        </w:numPr>
      </w:pPr>
      <w:r>
        <w:t xml:space="preserve">Verkäufer der Speisen oder Getränke;</w:t>
      </w:r>
    </w:p>
    <w:p>
      <w:pPr>
        <w:pStyle w:val="Compact"/>
        <w:numPr>
          <w:ilvl w:val="0"/>
          <w:numId w:val="1009"/>
        </w:numPr>
      </w:pPr>
      <w:r>
        <w:t xml:space="preserve">Schuldner der Rewards;</w:t>
      </w:r>
    </w:p>
    <w:p>
      <w:pPr>
        <w:pStyle w:val="Compact"/>
        <w:numPr>
          <w:ilvl w:val="0"/>
          <w:numId w:val="1009"/>
        </w:numPr>
      </w:pPr>
      <w:r>
        <w:t xml:space="preserve">Aussteller der restaurantbezogenen Punkte;</w:t>
      </w:r>
    </w:p>
    <w:p>
      <w:pPr>
        <w:pStyle w:val="Compact"/>
        <w:numPr>
          <w:ilvl w:val="0"/>
          <w:numId w:val="1009"/>
        </w:numPr>
      </w:pPr>
      <w:r>
        <w:t xml:space="preserve">Betreiber eines restaurantübergreifenden Bonuskontos;</w:t>
      </w:r>
    </w:p>
    <w:p>
      <w:pPr>
        <w:pStyle w:val="Compact"/>
        <w:numPr>
          <w:ilvl w:val="0"/>
          <w:numId w:val="1009"/>
        </w:numPr>
      </w:pPr>
      <w:r>
        <w:t xml:space="preserve">Garant für die tatsächliche Verfügbarkeit eines Rewards.</w:t>
      </w:r>
    </w:p>
    <w:bookmarkEnd w:id="39"/>
    <w:bookmarkStart w:id="40" w:name="keine-zentrale-geldbörse"/>
    <w:p>
      <w:pPr>
        <w:pStyle w:val="Heading2"/>
      </w:pPr>
      <w:r>
        <w:t xml:space="preserve">5.3 Keine zentrale Geldbörse</w:t>
      </w:r>
    </w:p>
    <w:p>
      <w:pPr>
        <w:pStyle w:val="FirstParagraph"/>
      </w:pPr>
      <w:r>
        <w:t xml:space="preserve">Soweit nicht ausdrücklich in einem späteren gesonderten Modul vereinbart, stellt die Plattform:</w:t>
      </w:r>
    </w:p>
    <w:p>
      <w:pPr>
        <w:pStyle w:val="Compact"/>
        <w:numPr>
          <w:ilvl w:val="0"/>
          <w:numId w:val="1010"/>
        </w:numPr>
      </w:pPr>
      <w:r>
        <w:t xml:space="preserve">kein Zahlungskonto;</w:t>
      </w:r>
    </w:p>
    <w:p>
      <w:pPr>
        <w:pStyle w:val="Compact"/>
        <w:numPr>
          <w:ilvl w:val="0"/>
          <w:numId w:val="1010"/>
        </w:numPr>
      </w:pPr>
      <w:r>
        <w:t xml:space="preserve">kein E-Geld;</w:t>
      </w:r>
    </w:p>
    <w:p>
      <w:pPr>
        <w:pStyle w:val="Compact"/>
        <w:numPr>
          <w:ilvl w:val="0"/>
          <w:numId w:val="1010"/>
        </w:numPr>
      </w:pPr>
      <w:r>
        <w:t xml:space="preserve">kein übertragbares Guthaben;</w:t>
      </w:r>
    </w:p>
    <w:p>
      <w:pPr>
        <w:pStyle w:val="Compact"/>
        <w:numPr>
          <w:ilvl w:val="0"/>
          <w:numId w:val="1010"/>
        </w:numPr>
      </w:pPr>
      <w:r>
        <w:t xml:space="preserve">keine zentrale Geldbörse;</w:t>
      </w:r>
    </w:p>
    <w:p>
      <w:pPr>
        <w:pStyle w:val="Compact"/>
        <w:numPr>
          <w:ilvl w:val="0"/>
          <w:numId w:val="1010"/>
        </w:numPr>
      </w:pPr>
      <w:r>
        <w:t xml:space="preserve">keine Auszahlung von Bonuspunkten</w:t>
      </w:r>
    </w:p>
    <w:p>
      <w:pPr>
        <w:pStyle w:val="FirstParagraph"/>
      </w:pPr>
      <w:r>
        <w:t xml:space="preserve">bereit.</w:t>
      </w:r>
    </w:p>
    <w:bookmarkEnd w:id="40"/>
    <w:bookmarkStart w:id="41" w:name="keine-zusammenführung"/>
    <w:p>
      <w:pPr>
        <w:pStyle w:val="Heading2"/>
      </w:pPr>
      <w:r>
        <w:t xml:space="preserve">5.4 Keine Zusammenführung</w:t>
      </w:r>
    </w:p>
    <w:p>
      <w:pPr>
        <w:pStyle w:val="FirstParagraph"/>
      </w:pPr>
      <w:r>
        <w:t xml:space="preserve">Punkte eines Restaurants werden nicht automatisch mit Punkten anderer Restaurantunternehmen zusammengeführt oder übertragen.</w:t>
      </w:r>
    </w:p>
    <w:p>
      <w:r>
        <w:pict>
          <v:rect style="width:0;height:1.5pt" o:hralign="center" o:hrstd="t" o:hr="t"/>
        </w:pict>
      </w:r>
    </w:p>
    <w:bookmarkEnd w:id="41"/>
    <w:bookmarkEnd w:id="42"/>
    <w:bookmarkStart w:id="46" w:name="nutzungsrecht"/>
    <w:p>
      <w:pPr>
        <w:pStyle w:val="Heading1"/>
      </w:pPr>
      <w:r>
        <w:t xml:space="preserve">6. Nutzungsrecht</w:t>
      </w:r>
    </w:p>
    <w:bookmarkStart w:id="43" w:name="einräumung"/>
    <w:p>
      <w:pPr>
        <w:pStyle w:val="Heading2"/>
      </w:pPr>
      <w:r>
        <w:t xml:space="preserve">6.1 Einräumung</w:t>
      </w:r>
    </w:p>
    <w:p>
      <w:pPr>
        <w:pStyle w:val="FirstParagraph"/>
      </w:pPr>
      <w:r>
        <w:t xml:space="preserve">WUXUAI räumt dem Kunden für die Vertragsdauer ein:</w:t>
      </w:r>
    </w:p>
    <w:p>
      <w:pPr>
        <w:pStyle w:val="Compact"/>
        <w:numPr>
          <w:ilvl w:val="0"/>
          <w:numId w:val="1011"/>
        </w:numPr>
      </w:pPr>
      <w:r>
        <w:t xml:space="preserve">einfaches;</w:t>
      </w:r>
    </w:p>
    <w:p>
      <w:pPr>
        <w:pStyle w:val="Compact"/>
        <w:numPr>
          <w:ilvl w:val="0"/>
          <w:numId w:val="1011"/>
        </w:numPr>
      </w:pPr>
      <w:r>
        <w:t xml:space="preserve">nicht ausschließliches;</w:t>
      </w:r>
    </w:p>
    <w:p>
      <w:pPr>
        <w:pStyle w:val="Compact"/>
        <w:numPr>
          <w:ilvl w:val="0"/>
          <w:numId w:val="1011"/>
        </w:numPr>
      </w:pPr>
      <w:r>
        <w:t xml:space="preserve">nicht übertragbares;</w:t>
      </w:r>
    </w:p>
    <w:p>
      <w:pPr>
        <w:pStyle w:val="Compact"/>
        <w:numPr>
          <w:ilvl w:val="0"/>
          <w:numId w:val="1011"/>
        </w:numPr>
      </w:pPr>
      <w:r>
        <w:t xml:space="preserve">nicht unterlizenzierbares</w:t>
      </w:r>
    </w:p>
    <w:p>
      <w:pPr>
        <w:pStyle w:val="FirstParagraph"/>
      </w:pPr>
      <w:r>
        <w:t xml:space="preserve">Recht ein, die Plattform im vereinbarten Umfang für eigene unternehmerische Zwecke zu nutzen.</w:t>
      </w:r>
    </w:p>
    <w:bookmarkEnd w:id="43"/>
    <w:bookmarkStart w:id="44" w:name="einschränkungen"/>
    <w:p>
      <w:pPr>
        <w:pStyle w:val="Heading2"/>
      </w:pPr>
      <w:r>
        <w:t xml:space="preserve">6.2 Einschränkungen</w:t>
      </w:r>
    </w:p>
    <w:p>
      <w:pPr>
        <w:pStyle w:val="FirstParagraph"/>
      </w:pPr>
      <w:r>
        <w:t xml:space="preserve">Der Kunde darf ohne vorherige Zustimmung von WUXUAI insbesondere nicht:</w:t>
      </w:r>
    </w:p>
    <w:p>
      <w:pPr>
        <w:pStyle w:val="Compact"/>
        <w:numPr>
          <w:ilvl w:val="0"/>
          <w:numId w:val="1012"/>
        </w:numPr>
      </w:pPr>
      <w:r>
        <w:t xml:space="preserve">den Quellcode zurückentwickeln, soweit dies nicht zwingend gesetzlich erlaubt ist;</w:t>
      </w:r>
    </w:p>
    <w:p>
      <w:pPr>
        <w:pStyle w:val="Compact"/>
        <w:numPr>
          <w:ilvl w:val="0"/>
          <w:numId w:val="1012"/>
        </w:numPr>
      </w:pPr>
      <w:r>
        <w:t xml:space="preserve">Schutzmechanismen umgehen;</w:t>
      </w:r>
    </w:p>
    <w:p>
      <w:pPr>
        <w:pStyle w:val="Compact"/>
        <w:numPr>
          <w:ilvl w:val="0"/>
          <w:numId w:val="1012"/>
        </w:numPr>
      </w:pPr>
      <w:r>
        <w:t xml:space="preserve">die Plattform vervielfältigen oder weiterverkaufen;</w:t>
      </w:r>
    </w:p>
    <w:p>
      <w:pPr>
        <w:pStyle w:val="Compact"/>
        <w:numPr>
          <w:ilvl w:val="0"/>
          <w:numId w:val="1012"/>
        </w:numPr>
      </w:pPr>
      <w:r>
        <w:t xml:space="preserve">Dritten einen nicht genehmigten Plattformzugang anbieten;</w:t>
      </w:r>
    </w:p>
    <w:p>
      <w:pPr>
        <w:pStyle w:val="Compact"/>
        <w:numPr>
          <w:ilvl w:val="0"/>
          <w:numId w:val="1012"/>
        </w:numPr>
      </w:pPr>
      <w:r>
        <w:t xml:space="preserve">die Plattform zur Entwicklung eines unmittelbar konkurrierenden Produkts auslesen;</w:t>
      </w:r>
    </w:p>
    <w:p>
      <w:pPr>
        <w:pStyle w:val="Compact"/>
        <w:numPr>
          <w:ilvl w:val="0"/>
          <w:numId w:val="1012"/>
        </w:numPr>
      </w:pPr>
      <w:r>
        <w:t xml:space="preserve">automatisierte Massenabfragen durchführen;</w:t>
      </w:r>
    </w:p>
    <w:p>
      <w:pPr>
        <w:pStyle w:val="Compact"/>
        <w:numPr>
          <w:ilvl w:val="0"/>
          <w:numId w:val="1012"/>
        </w:numPr>
      </w:pPr>
      <w:r>
        <w:t xml:space="preserve">Sicherheitsprüfungen ohne Freigabe gegen Produktionssysteme ausführen;</w:t>
      </w:r>
    </w:p>
    <w:p>
      <w:pPr>
        <w:pStyle w:val="Compact"/>
        <w:numPr>
          <w:ilvl w:val="0"/>
          <w:numId w:val="1012"/>
        </w:numPr>
      </w:pPr>
      <w:r>
        <w:t xml:space="preserve">Zugangsdaten oder Service-Schlüssel veröffentlichen.</w:t>
      </w:r>
    </w:p>
    <w:bookmarkEnd w:id="44"/>
    <w:bookmarkStart w:id="45" w:name="eigene-inhalte"/>
    <w:p>
      <w:pPr>
        <w:pStyle w:val="Heading2"/>
      </w:pPr>
      <w:r>
        <w:t xml:space="preserve">6.3 Eigene Inhalte</w:t>
      </w:r>
    </w:p>
    <w:p>
      <w:pPr>
        <w:pStyle w:val="FirstParagraph"/>
      </w:pPr>
      <w:r>
        <w:t xml:space="preserve">Der Kunde behält die Rechte an seinen eigenen:</w:t>
      </w:r>
    </w:p>
    <w:p>
      <w:pPr>
        <w:pStyle w:val="Compact"/>
        <w:numPr>
          <w:ilvl w:val="0"/>
          <w:numId w:val="1013"/>
        </w:numPr>
      </w:pPr>
      <w:r>
        <w:t xml:space="preserve">Logos;</w:t>
      </w:r>
    </w:p>
    <w:p>
      <w:pPr>
        <w:pStyle w:val="Compact"/>
        <w:numPr>
          <w:ilvl w:val="0"/>
          <w:numId w:val="1013"/>
        </w:numPr>
      </w:pPr>
      <w:r>
        <w:t xml:space="preserve">Marken;</w:t>
      </w:r>
    </w:p>
    <w:p>
      <w:pPr>
        <w:pStyle w:val="Compact"/>
        <w:numPr>
          <w:ilvl w:val="0"/>
          <w:numId w:val="1013"/>
        </w:numPr>
      </w:pPr>
      <w:r>
        <w:t xml:space="preserve">Texten;</w:t>
      </w:r>
    </w:p>
    <w:p>
      <w:pPr>
        <w:pStyle w:val="Compact"/>
        <w:numPr>
          <w:ilvl w:val="0"/>
          <w:numId w:val="1013"/>
        </w:numPr>
      </w:pPr>
      <w:r>
        <w:t xml:space="preserve">Bildern;</w:t>
      </w:r>
    </w:p>
    <w:p>
      <w:pPr>
        <w:pStyle w:val="Compact"/>
        <w:numPr>
          <w:ilvl w:val="0"/>
          <w:numId w:val="1013"/>
        </w:numPr>
      </w:pPr>
      <w:r>
        <w:t xml:space="preserve">Rewardbeschreibungen;</w:t>
      </w:r>
    </w:p>
    <w:p>
      <w:pPr>
        <w:pStyle w:val="Compact"/>
        <w:numPr>
          <w:ilvl w:val="0"/>
          <w:numId w:val="1013"/>
        </w:numPr>
      </w:pPr>
      <w:r>
        <w:t xml:space="preserve">Restaurantinformationen.</w:t>
      </w:r>
    </w:p>
    <w:p>
      <w:pPr>
        <w:pStyle w:val="FirstParagraph"/>
      </w:pPr>
      <w:r>
        <w:t xml:space="preserve">Der Kunde räumt WUXUAI für die Vertragsdauer das zur technischen Darstellung und Verarbeitung notwendige Nutzungsrecht ein.</w:t>
      </w:r>
    </w:p>
    <w:p>
      <w:r>
        <w:pict>
          <v:rect style="width:0;height:1.5pt" o:hralign="center" o:hrstd="t" o:hr="t"/>
        </w:pict>
      </w:r>
    </w:p>
    <w:bookmarkEnd w:id="45"/>
    <w:bookmarkEnd w:id="46"/>
    <w:bookmarkStart w:id="52" w:name="konten-und-berechtigungen"/>
    <w:p>
      <w:pPr>
        <w:pStyle w:val="Heading1"/>
      </w:pPr>
      <w:r>
        <w:t xml:space="preserve">7. Konten und Berechtigungen</w:t>
      </w:r>
    </w:p>
    <w:bookmarkStart w:id="47" w:name="kundenkonto"/>
    <w:p>
      <w:pPr>
        <w:pStyle w:val="Heading2"/>
      </w:pPr>
      <w:r>
        <w:t xml:space="preserve">7.1 Kundenkonto</w:t>
      </w:r>
    </w:p>
    <w:p>
      <w:pPr>
        <w:pStyle w:val="FirstParagraph"/>
      </w:pPr>
      <w:r>
        <w:t xml:space="preserve">Der Kunde ist für die Richtigkeit seiner Registrierungs-, Unternehmens- und Kontaktdaten verantwortlich.</w:t>
      </w:r>
    </w:p>
    <w:p>
      <w:pPr>
        <w:pStyle w:val="BodyText"/>
      </w:pPr>
      <w:r>
        <w:t xml:space="preserve">Änderungen sind unverzüglich in der Plattform zu aktualisieren oder WUXUAI mitzuteilen.</w:t>
      </w:r>
    </w:p>
    <w:bookmarkEnd w:id="47"/>
    <w:bookmarkStart w:id="48" w:name="owner"/>
    <w:p>
      <w:pPr>
        <w:pStyle w:val="Heading2"/>
      </w:pPr>
      <w:r>
        <w:t xml:space="preserve">7.2 Owner</w:t>
      </w:r>
    </w:p>
    <w:p>
      <w:pPr>
        <w:pStyle w:val="FirstParagraph"/>
      </w:pPr>
      <w:r>
        <w:t xml:space="preserve">Owner handeln im Namen des Kunden.</w:t>
      </w:r>
    </w:p>
    <w:p>
      <w:pPr>
        <w:pStyle w:val="BodyText"/>
      </w:pPr>
      <w:r>
        <w:t xml:space="preserve">Der Kunde ist verantwortlich dafür, dass nur entsprechend bevollmächtigte Personen Owner-Rechte erhalten.</w:t>
      </w:r>
    </w:p>
    <w:bookmarkEnd w:id="48"/>
    <w:bookmarkStart w:id="49" w:name="mitarbeiter"/>
    <w:p>
      <w:pPr>
        <w:pStyle w:val="Heading2"/>
      </w:pPr>
      <w:r>
        <w:t xml:space="preserve">7.3 Mitarbeiter</w:t>
      </w:r>
    </w:p>
    <w:p>
      <w:pPr>
        <w:pStyle w:val="FirstParagraph"/>
      </w:pPr>
      <w:r>
        <w:t xml:space="preserve">Der Kunde verwaltet Mitarbeiterzugänge eigenständig.</w:t>
      </w:r>
    </w:p>
    <w:p>
      <w:pPr>
        <w:pStyle w:val="BodyText"/>
      </w:pPr>
      <w:r>
        <w:t xml:space="preserve">Zugänge müssen unverzüglich gesperrt werden, wenn:</w:t>
      </w:r>
    </w:p>
    <w:p>
      <w:pPr>
        <w:pStyle w:val="Compact"/>
        <w:numPr>
          <w:ilvl w:val="0"/>
          <w:numId w:val="1014"/>
        </w:numPr>
      </w:pPr>
      <w:r>
        <w:t xml:space="preserve">ein Mitarbeiter ausscheidet;</w:t>
      </w:r>
    </w:p>
    <w:p>
      <w:pPr>
        <w:pStyle w:val="Compact"/>
        <w:numPr>
          <w:ilvl w:val="0"/>
          <w:numId w:val="1014"/>
        </w:numPr>
      </w:pPr>
      <w:r>
        <w:t xml:space="preserve">die Berechtigung entfällt;</w:t>
      </w:r>
    </w:p>
    <w:p>
      <w:pPr>
        <w:pStyle w:val="Compact"/>
        <w:numPr>
          <w:ilvl w:val="0"/>
          <w:numId w:val="1014"/>
        </w:numPr>
      </w:pPr>
      <w:r>
        <w:t xml:space="preserve">ein Missbrauch vermutet wird;</w:t>
      </w:r>
    </w:p>
    <w:p>
      <w:pPr>
        <w:pStyle w:val="Compact"/>
        <w:numPr>
          <w:ilvl w:val="0"/>
          <w:numId w:val="1014"/>
        </w:numPr>
      </w:pPr>
      <w:r>
        <w:t xml:space="preserve">Zugangsdaten kompromittiert sein könnten.</w:t>
      </w:r>
    </w:p>
    <w:bookmarkEnd w:id="49"/>
    <w:bookmarkStart w:id="50" w:name="individuelle-konten"/>
    <w:p>
      <w:pPr>
        <w:pStyle w:val="Heading2"/>
      </w:pPr>
      <w:r>
        <w:t xml:space="preserve">7.4 Individuelle Konten</w:t>
      </w:r>
    </w:p>
    <w:p>
      <w:pPr>
        <w:pStyle w:val="FirstParagraph"/>
      </w:pPr>
      <w:r>
        <w:t xml:space="preserve">Gemeinsame Benutzerkonten sind bei privilegierten Rollen unzulässig, sofern WUXUAI nicht ausdrücklich eine dafür vorgesehene operative Rolle bereitstellt.</w:t>
      </w:r>
    </w:p>
    <w:bookmarkEnd w:id="50"/>
    <w:bookmarkStart w:id="51" w:name="zugangssicherheit"/>
    <w:p>
      <w:pPr>
        <w:pStyle w:val="Heading2"/>
      </w:pPr>
      <w:r>
        <w:t xml:space="preserve">7.5 Zugangssicherheit</w:t>
      </w:r>
    </w:p>
    <w:p>
      <w:pPr>
        <w:pStyle w:val="FirstParagraph"/>
      </w:pPr>
      <w:r>
        <w:t xml:space="preserve">Der Kunde hat:</w:t>
      </w:r>
    </w:p>
    <w:p>
      <w:pPr>
        <w:pStyle w:val="Compact"/>
        <w:numPr>
          <w:ilvl w:val="0"/>
          <w:numId w:val="1015"/>
        </w:numPr>
      </w:pPr>
      <w:r>
        <w:t xml:space="preserve">sichere Passwörter zu verwenden;</w:t>
      </w:r>
    </w:p>
    <w:p>
      <w:pPr>
        <w:pStyle w:val="Compact"/>
        <w:numPr>
          <w:ilvl w:val="0"/>
          <w:numId w:val="1015"/>
        </w:numPr>
      </w:pPr>
      <w:r>
        <w:t xml:space="preserve">Zugangsdaten geheim zu halten;</w:t>
      </w:r>
    </w:p>
    <w:p>
      <w:pPr>
        <w:pStyle w:val="Compact"/>
        <w:numPr>
          <w:ilvl w:val="0"/>
          <w:numId w:val="1015"/>
        </w:numPr>
      </w:pPr>
      <w:r>
        <w:t xml:space="preserve">Mehrfaktor-Authentifizierung zu nutzen, soweit angeboten oder vorgeschrieben;</w:t>
      </w:r>
    </w:p>
    <w:p>
      <w:pPr>
        <w:pStyle w:val="Compact"/>
        <w:numPr>
          <w:ilvl w:val="0"/>
          <w:numId w:val="1015"/>
        </w:numPr>
      </w:pPr>
      <w:r>
        <w:t xml:space="preserve">Geräte angemessen zu sichern;</w:t>
      </w:r>
    </w:p>
    <w:p>
      <w:pPr>
        <w:pStyle w:val="Compact"/>
        <w:numPr>
          <w:ilvl w:val="0"/>
          <w:numId w:val="1015"/>
        </w:numPr>
      </w:pPr>
      <w:r>
        <w:t xml:space="preserve">Sicherheitsvorfälle unverzüglich zu melden.</w:t>
      </w:r>
    </w:p>
    <w:p>
      <w:r>
        <w:pict>
          <v:rect style="width:0;height:1.5pt" o:hralign="center" o:hrstd="t" o:hr="t"/>
        </w:pict>
      </w:r>
    </w:p>
    <w:bookmarkEnd w:id="51"/>
    <w:bookmarkEnd w:id="52"/>
    <w:bookmarkStart w:id="53" w:name="mitwirkungspflichten-des-kunden"/>
    <w:p>
      <w:pPr>
        <w:pStyle w:val="Heading1"/>
      </w:pPr>
      <w:r>
        <w:t xml:space="preserve">8. Mitwirkungspflichten des Kunden</w:t>
      </w:r>
    </w:p>
    <w:p>
      <w:pPr>
        <w:pStyle w:val="FirstParagraph"/>
      </w:pPr>
      <w:r>
        <w:t xml:space="preserve">Der Kunde ist verpflichtet:</w:t>
      </w:r>
    </w:p>
    <w:p>
      <w:pPr>
        <w:pStyle w:val="Compact"/>
        <w:numPr>
          <w:ilvl w:val="0"/>
          <w:numId w:val="1016"/>
        </w:numPr>
      </w:pPr>
      <w:r>
        <w:t xml:space="preserve">vollständige und richtige Unternehmensdaten bereitzustellen;</w:t>
      </w:r>
    </w:p>
    <w:p>
      <w:pPr>
        <w:pStyle w:val="Compact"/>
        <w:numPr>
          <w:ilvl w:val="0"/>
          <w:numId w:val="1016"/>
        </w:numPr>
      </w:pPr>
      <w:r>
        <w:t xml:space="preserve">seine Nutzer ordnungsgemäß zu schulen;</w:t>
      </w:r>
    </w:p>
    <w:p>
      <w:pPr>
        <w:pStyle w:val="Compact"/>
        <w:numPr>
          <w:ilvl w:val="0"/>
          <w:numId w:val="1016"/>
        </w:numPr>
      </w:pPr>
      <w:r>
        <w:t xml:space="preserve">nur rechtmäßige Inhalte einzustellen;</w:t>
      </w:r>
    </w:p>
    <w:p>
      <w:pPr>
        <w:pStyle w:val="Compact"/>
        <w:numPr>
          <w:ilvl w:val="0"/>
          <w:numId w:val="1016"/>
        </w:numPr>
      </w:pPr>
      <w:r>
        <w:t xml:space="preserve">erforderliche Rechte an hochgeladenen Inhalten zu besitzen;</w:t>
      </w:r>
    </w:p>
    <w:p>
      <w:pPr>
        <w:pStyle w:val="Compact"/>
        <w:numPr>
          <w:ilvl w:val="0"/>
          <w:numId w:val="1016"/>
        </w:numPr>
      </w:pPr>
      <w:r>
        <w:t xml:space="preserve">datenschutzrechtliche Informationspflichten zu erfüllen;</w:t>
      </w:r>
    </w:p>
    <w:p>
      <w:pPr>
        <w:pStyle w:val="Compact"/>
        <w:numPr>
          <w:ilvl w:val="0"/>
          <w:numId w:val="1016"/>
        </w:numPr>
      </w:pPr>
      <w:r>
        <w:t xml:space="preserve">notwendige Einwilligungen einzuholen;</w:t>
      </w:r>
    </w:p>
    <w:p>
      <w:pPr>
        <w:pStyle w:val="Compact"/>
        <w:numPr>
          <w:ilvl w:val="0"/>
          <w:numId w:val="1016"/>
        </w:numPr>
      </w:pPr>
      <w:r>
        <w:t xml:space="preserve">seine Bonusbedingungen transparent zu gestalten;</w:t>
      </w:r>
    </w:p>
    <w:p>
      <w:pPr>
        <w:pStyle w:val="Compact"/>
        <w:numPr>
          <w:ilvl w:val="0"/>
          <w:numId w:val="1016"/>
        </w:numPr>
      </w:pPr>
      <w:r>
        <w:t xml:space="preserve">Rewards tatsächlich und vertragsgemäß bereitzustellen;</w:t>
      </w:r>
    </w:p>
    <w:p>
      <w:pPr>
        <w:pStyle w:val="Compact"/>
        <w:numPr>
          <w:ilvl w:val="0"/>
          <w:numId w:val="1016"/>
        </w:numPr>
      </w:pPr>
      <w:r>
        <w:t xml:space="preserve">Punktebuchungen und Einlösungen zu kontrollieren;</w:t>
      </w:r>
    </w:p>
    <w:p>
      <w:pPr>
        <w:pStyle w:val="Compact"/>
        <w:numPr>
          <w:ilvl w:val="0"/>
          <w:numId w:val="1016"/>
        </w:numPr>
      </w:pPr>
      <w:r>
        <w:t xml:space="preserve">Missbrauch unverzüglich zu melden;</w:t>
      </w:r>
    </w:p>
    <w:p>
      <w:pPr>
        <w:pStyle w:val="Compact"/>
        <w:numPr>
          <w:ilvl w:val="0"/>
          <w:numId w:val="1016"/>
        </w:numPr>
      </w:pPr>
      <w:r>
        <w:t xml:space="preserve">Sicherheitsupdates und Hinweise zu beachten;</w:t>
      </w:r>
    </w:p>
    <w:p>
      <w:pPr>
        <w:pStyle w:val="Compact"/>
        <w:numPr>
          <w:ilvl w:val="0"/>
          <w:numId w:val="1016"/>
        </w:numPr>
      </w:pPr>
      <w:r>
        <w:t xml:space="preserve">Ansprechpartner aktuell zu halten;</w:t>
      </w:r>
    </w:p>
    <w:p>
      <w:pPr>
        <w:pStyle w:val="Compact"/>
        <w:numPr>
          <w:ilvl w:val="0"/>
          <w:numId w:val="1016"/>
        </w:numPr>
      </w:pPr>
      <w:r>
        <w:t xml:space="preserve">notwendige lokale technische Voraussetzungen bereitzustellen;</w:t>
      </w:r>
    </w:p>
    <w:p>
      <w:pPr>
        <w:pStyle w:val="Compact"/>
        <w:numPr>
          <w:ilvl w:val="0"/>
          <w:numId w:val="1016"/>
        </w:numPr>
      </w:pPr>
      <w:r>
        <w:t xml:space="preserve">keine sensiblen Daten ohne vorgesehenen Zweck einzugeben;</w:t>
      </w:r>
    </w:p>
    <w:p>
      <w:pPr>
        <w:pStyle w:val="Compact"/>
        <w:numPr>
          <w:ilvl w:val="0"/>
          <w:numId w:val="1016"/>
        </w:numPr>
      </w:pPr>
      <w:r>
        <w:t xml:space="preserve">gesetzliche Aufbewahrungs- und Dokumentationspflichten einzuhalten.</w:t>
      </w:r>
    </w:p>
    <w:p>
      <w:pPr>
        <w:pStyle w:val="FirstParagraph"/>
      </w:pPr>
      <w:r>
        <w:t xml:space="preserve">Verletzt der Kunde Mitwirkungspflichten, verlängern sich davon betroffene Leistungsfristen angemessen.</w:t>
      </w:r>
    </w:p>
    <w:p>
      <w:pPr>
        <w:pStyle w:val="BodyText"/>
      </w:pPr>
      <w:r>
        <w:t xml:space="preserve">Zusätzlicher Aufwand kann nach vorheriger Information gesondert verrechnet werden, soweit der Aufwand vom Kunden verursacht wurde.</w:t>
      </w:r>
    </w:p>
    <w:p>
      <w:r>
        <w:pict>
          <v:rect style="width:0;height:1.5pt" o:hralign="center" o:hrstd="t" o:hr="t"/>
        </w:pict>
      </w:r>
    </w:p>
    <w:bookmarkEnd w:id="53"/>
    <w:bookmarkStart w:id="54" w:name="unzulässige-nutzung"/>
    <w:p>
      <w:pPr>
        <w:pStyle w:val="Heading1"/>
      </w:pPr>
      <w:r>
        <w:t xml:space="preserve">9. Unzulässige Nutzung</w:t>
      </w:r>
    </w:p>
    <w:p>
      <w:pPr>
        <w:pStyle w:val="FirstParagraph"/>
      </w:pPr>
      <w:r>
        <w:t xml:space="preserve">Der Kunde darf die Plattform nicht verwenden für:</w:t>
      </w:r>
    </w:p>
    <w:p>
      <w:pPr>
        <w:pStyle w:val="Compact"/>
        <w:numPr>
          <w:ilvl w:val="0"/>
          <w:numId w:val="1017"/>
        </w:numPr>
      </w:pPr>
      <w:r>
        <w:t xml:space="preserve">rechtswidrige Bonusprogramme;</w:t>
      </w:r>
    </w:p>
    <w:p>
      <w:pPr>
        <w:pStyle w:val="Compact"/>
        <w:numPr>
          <w:ilvl w:val="0"/>
          <w:numId w:val="1017"/>
        </w:numPr>
      </w:pPr>
      <w:r>
        <w:t xml:space="preserve">betrügerische Punktebuchungen;</w:t>
      </w:r>
    </w:p>
    <w:p>
      <w:pPr>
        <w:pStyle w:val="Compact"/>
        <w:numPr>
          <w:ilvl w:val="0"/>
          <w:numId w:val="1017"/>
        </w:numPr>
      </w:pPr>
      <w:r>
        <w:t xml:space="preserve">irreführende Rewards;</w:t>
      </w:r>
    </w:p>
    <w:p>
      <w:pPr>
        <w:pStyle w:val="Compact"/>
        <w:numPr>
          <w:ilvl w:val="0"/>
          <w:numId w:val="1017"/>
        </w:numPr>
      </w:pPr>
      <w:r>
        <w:t xml:space="preserve">unzulässige Direktwerbung;</w:t>
      </w:r>
    </w:p>
    <w:p>
      <w:pPr>
        <w:pStyle w:val="Compact"/>
        <w:numPr>
          <w:ilvl w:val="0"/>
          <w:numId w:val="1017"/>
        </w:numPr>
      </w:pPr>
      <w:r>
        <w:t xml:space="preserve">Diskriminierung;</w:t>
      </w:r>
    </w:p>
    <w:p>
      <w:pPr>
        <w:pStyle w:val="Compact"/>
        <w:numPr>
          <w:ilvl w:val="0"/>
          <w:numId w:val="1017"/>
        </w:numPr>
      </w:pPr>
      <w:r>
        <w:t xml:space="preserve">Geldwäsche;</w:t>
      </w:r>
    </w:p>
    <w:p>
      <w:pPr>
        <w:pStyle w:val="Compact"/>
        <w:numPr>
          <w:ilvl w:val="0"/>
          <w:numId w:val="1017"/>
        </w:numPr>
      </w:pPr>
      <w:r>
        <w:t xml:space="preserve">unzulässige Finanzdienstleistungen;</w:t>
      </w:r>
    </w:p>
    <w:p>
      <w:pPr>
        <w:pStyle w:val="Compact"/>
        <w:numPr>
          <w:ilvl w:val="0"/>
          <w:numId w:val="1017"/>
        </w:numPr>
      </w:pPr>
      <w:r>
        <w:t xml:space="preserve">Glücksspiele ohne erforderliche Genehmigung;</w:t>
      </w:r>
    </w:p>
    <w:p>
      <w:pPr>
        <w:pStyle w:val="Compact"/>
        <w:numPr>
          <w:ilvl w:val="0"/>
          <w:numId w:val="1017"/>
        </w:numPr>
      </w:pPr>
      <w:r>
        <w:t xml:space="preserve">rechtswidrige Verarbeitung personenbezogener Daten;</w:t>
      </w:r>
    </w:p>
    <w:p>
      <w:pPr>
        <w:pStyle w:val="Compact"/>
        <w:numPr>
          <w:ilvl w:val="0"/>
          <w:numId w:val="1017"/>
        </w:numPr>
      </w:pPr>
      <w:r>
        <w:t xml:space="preserve">Schadsoftware;</w:t>
      </w:r>
    </w:p>
    <w:p>
      <w:pPr>
        <w:pStyle w:val="Compact"/>
        <w:numPr>
          <w:ilvl w:val="0"/>
          <w:numId w:val="1017"/>
        </w:numPr>
      </w:pPr>
      <w:r>
        <w:t xml:space="preserve">Angriffe auf Systeme;</w:t>
      </w:r>
    </w:p>
    <w:p>
      <w:pPr>
        <w:pStyle w:val="Compact"/>
        <w:numPr>
          <w:ilvl w:val="0"/>
          <w:numId w:val="1017"/>
        </w:numPr>
      </w:pPr>
      <w:r>
        <w:t xml:space="preserve">Verletzung fremder Marken-, Urheber- oder Persönlichkeitsrechte;</w:t>
      </w:r>
    </w:p>
    <w:p>
      <w:pPr>
        <w:pStyle w:val="Compact"/>
        <w:numPr>
          <w:ilvl w:val="0"/>
          <w:numId w:val="1017"/>
        </w:numPr>
      </w:pPr>
      <w:r>
        <w:t xml:space="preserve">Weitergabe vertraulicher Daten an unberechtigte Personen.</w:t>
      </w:r>
    </w:p>
    <w:p>
      <w:pPr>
        <w:pStyle w:val="FirstParagraph"/>
      </w:pPr>
      <w:r>
        <w:t xml:space="preserve">WUXUAI darf bei begründetem Verdacht geeignete Sicherungsmaßnahmen ergreifen.</w:t>
      </w:r>
    </w:p>
    <w:p>
      <w:r>
        <w:pict>
          <v:rect style="width:0;height:1.5pt" o:hralign="center" o:hrstd="t" o:hr="t"/>
        </w:pict>
      </w:r>
    </w:p>
    <w:bookmarkEnd w:id="54"/>
    <w:bookmarkStart w:id="58" w:name="restaurantinhalte"/>
    <w:p>
      <w:pPr>
        <w:pStyle w:val="Heading1"/>
      </w:pPr>
      <w:r>
        <w:t xml:space="preserve">10. Restaurantinhalte</w:t>
      </w:r>
    </w:p>
    <w:bookmarkStart w:id="55" w:name="verantwortung"/>
    <w:p>
      <w:pPr>
        <w:pStyle w:val="Heading2"/>
      </w:pPr>
      <w:r>
        <w:t xml:space="preserve">10.1 Verantwortung</w:t>
      </w:r>
    </w:p>
    <w:p>
      <w:pPr>
        <w:pStyle w:val="FirstParagraph"/>
      </w:pPr>
      <w:r>
        <w:t xml:space="preserve">Der Kunde ist für von ihm bereitgestellte oder freigegebene Inhalte verantwortlich.</w:t>
      </w:r>
    </w:p>
    <w:p>
      <w:pPr>
        <w:pStyle w:val="BodyText"/>
      </w:pPr>
      <w:r>
        <w:t xml:space="preserve">Dies betrifft insbesondere:</w:t>
      </w:r>
    </w:p>
    <w:p>
      <w:pPr>
        <w:pStyle w:val="Compact"/>
        <w:numPr>
          <w:ilvl w:val="0"/>
          <w:numId w:val="1018"/>
        </w:numPr>
      </w:pPr>
      <w:r>
        <w:t xml:space="preserve">Restaurantname;</w:t>
      </w:r>
    </w:p>
    <w:p>
      <w:pPr>
        <w:pStyle w:val="Compact"/>
        <w:numPr>
          <w:ilvl w:val="0"/>
          <w:numId w:val="1018"/>
        </w:numPr>
      </w:pPr>
      <w:r>
        <w:t xml:space="preserve">Impressumsangaben;</w:t>
      </w:r>
    </w:p>
    <w:p>
      <w:pPr>
        <w:pStyle w:val="Compact"/>
        <w:numPr>
          <w:ilvl w:val="0"/>
          <w:numId w:val="1018"/>
        </w:numPr>
      </w:pPr>
      <w:r>
        <w:t xml:space="preserve">Öffnungszeiten;</w:t>
      </w:r>
    </w:p>
    <w:p>
      <w:pPr>
        <w:pStyle w:val="Compact"/>
        <w:numPr>
          <w:ilvl w:val="0"/>
          <w:numId w:val="1018"/>
        </w:numPr>
      </w:pPr>
      <w:r>
        <w:t xml:space="preserve">Bilder;</w:t>
      </w:r>
    </w:p>
    <w:p>
      <w:pPr>
        <w:pStyle w:val="Compact"/>
        <w:numPr>
          <w:ilvl w:val="0"/>
          <w:numId w:val="1018"/>
        </w:numPr>
      </w:pPr>
      <w:r>
        <w:t xml:space="preserve">Preise;</w:t>
      </w:r>
    </w:p>
    <w:p>
      <w:pPr>
        <w:pStyle w:val="Compact"/>
        <w:numPr>
          <w:ilvl w:val="0"/>
          <w:numId w:val="1018"/>
        </w:numPr>
      </w:pPr>
      <w:r>
        <w:t xml:space="preserve">Punktebedingungen;</w:t>
      </w:r>
    </w:p>
    <w:p>
      <w:pPr>
        <w:pStyle w:val="Compact"/>
        <w:numPr>
          <w:ilvl w:val="0"/>
          <w:numId w:val="1018"/>
        </w:numPr>
      </w:pPr>
      <w:r>
        <w:t xml:space="preserve">Rewardbedingungen;</w:t>
      </w:r>
    </w:p>
    <w:p>
      <w:pPr>
        <w:pStyle w:val="Compact"/>
        <w:numPr>
          <w:ilvl w:val="0"/>
          <w:numId w:val="1018"/>
        </w:numPr>
      </w:pPr>
      <w:r>
        <w:t xml:space="preserve">Teilnahmebedingungen;</w:t>
      </w:r>
    </w:p>
    <w:p>
      <w:pPr>
        <w:pStyle w:val="Compact"/>
        <w:numPr>
          <w:ilvl w:val="0"/>
          <w:numId w:val="1018"/>
        </w:numPr>
      </w:pPr>
      <w:r>
        <w:t xml:space="preserve">Datenschutzinformationen;</w:t>
      </w:r>
    </w:p>
    <w:p>
      <w:pPr>
        <w:pStyle w:val="Compact"/>
        <w:numPr>
          <w:ilvl w:val="0"/>
          <w:numId w:val="1018"/>
        </w:numPr>
      </w:pPr>
      <w:r>
        <w:t xml:space="preserve">Marketingtexte.</w:t>
      </w:r>
    </w:p>
    <w:bookmarkEnd w:id="55"/>
    <w:bookmarkStart w:id="56" w:name="rechte-dritter"/>
    <w:p>
      <w:pPr>
        <w:pStyle w:val="Heading2"/>
      </w:pPr>
      <w:r>
        <w:t xml:space="preserve">10.2 Rechte Dritter</w:t>
      </w:r>
    </w:p>
    <w:p>
      <w:pPr>
        <w:pStyle w:val="FirstParagraph"/>
      </w:pPr>
      <w:r>
        <w:t xml:space="preserve">Der Kunde gewährleistet, dass die Nutzung seiner Inhalte keine Rechte Dritter verletzt.</w:t>
      </w:r>
    </w:p>
    <w:bookmarkEnd w:id="56"/>
    <w:bookmarkStart w:id="57" w:name="entfernung"/>
    <w:p>
      <w:pPr>
        <w:pStyle w:val="Heading2"/>
      </w:pPr>
      <w:r>
        <w:t xml:space="preserve">10.3 Entfernung</w:t>
      </w:r>
    </w:p>
    <w:p>
      <w:pPr>
        <w:pStyle w:val="FirstParagraph"/>
      </w:pPr>
      <w:r>
        <w:t xml:space="preserve">WUXUAI darf Inhalte sperren oder entfernen, wenn:</w:t>
      </w:r>
    </w:p>
    <w:p>
      <w:pPr>
        <w:pStyle w:val="Compact"/>
        <w:numPr>
          <w:ilvl w:val="0"/>
          <w:numId w:val="1019"/>
        </w:numPr>
      </w:pPr>
      <w:r>
        <w:t xml:space="preserve">eine Rechtsverletzung glaubhaft gemacht wird;</w:t>
      </w:r>
    </w:p>
    <w:p>
      <w:pPr>
        <w:pStyle w:val="Compact"/>
        <w:numPr>
          <w:ilvl w:val="0"/>
          <w:numId w:val="1019"/>
        </w:numPr>
      </w:pPr>
      <w:r>
        <w:t xml:space="preserve">eine behördliche oder gerichtliche Anordnung vorliegt;</w:t>
      </w:r>
    </w:p>
    <w:p>
      <w:pPr>
        <w:pStyle w:val="Compact"/>
        <w:numPr>
          <w:ilvl w:val="0"/>
          <w:numId w:val="1019"/>
        </w:numPr>
      </w:pPr>
      <w:r>
        <w:t xml:space="preserve">ein erhebliches Sicherheitsrisiko besteht;</w:t>
      </w:r>
    </w:p>
    <w:p>
      <w:pPr>
        <w:pStyle w:val="Compact"/>
        <w:numPr>
          <w:ilvl w:val="0"/>
          <w:numId w:val="1019"/>
        </w:numPr>
      </w:pPr>
      <w:r>
        <w:t xml:space="preserve">der Inhalt eindeutig gegen den Vertrag verstößt.</w:t>
      </w:r>
    </w:p>
    <w:p>
      <w:pPr>
        <w:pStyle w:val="FirstParagraph"/>
      </w:pPr>
      <w:r>
        <w:t xml:space="preserve">Der Kunde wird grundsätzlich informiert, soweit keine rechtlichen oder sicherheitsbezogenen Gründe entgegenstehen.</w:t>
      </w:r>
    </w:p>
    <w:p>
      <w:r>
        <w:pict>
          <v:rect style="width:0;height:1.5pt" o:hralign="center" o:hrstd="t" o:hr="t"/>
        </w:pict>
      </w:r>
    </w:p>
    <w:bookmarkEnd w:id="57"/>
    <w:bookmarkEnd w:id="58"/>
    <w:bookmarkStart w:id="62" w:name="rechtstexte-und-legal-readiness"/>
    <w:p>
      <w:pPr>
        <w:pStyle w:val="Heading1"/>
      </w:pPr>
      <w:r>
        <w:t xml:space="preserve">11. Rechtstexte und Legal Readiness</w:t>
      </w:r>
    </w:p>
    <w:bookmarkStart w:id="59" w:name="verantwortung-des-kunden"/>
    <w:p>
      <w:pPr>
        <w:pStyle w:val="Heading2"/>
      </w:pPr>
      <w:r>
        <w:t xml:space="preserve">11.1 Verantwortung des Kunden</w:t>
      </w:r>
    </w:p>
    <w:p>
      <w:pPr>
        <w:pStyle w:val="FirstParagraph"/>
      </w:pPr>
      <w:r>
        <w:t xml:space="preserve">Der Kunde bleibt Herausgeber und inhaltlich Verantwortlicher seiner:</w:t>
      </w:r>
    </w:p>
    <w:p>
      <w:pPr>
        <w:pStyle w:val="Compact"/>
        <w:numPr>
          <w:ilvl w:val="0"/>
          <w:numId w:val="1020"/>
        </w:numPr>
      </w:pPr>
      <w:r>
        <w:t xml:space="preserve">Teilnahmebedingungen;</w:t>
      </w:r>
    </w:p>
    <w:p>
      <w:pPr>
        <w:pStyle w:val="Compact"/>
        <w:numPr>
          <w:ilvl w:val="0"/>
          <w:numId w:val="1020"/>
        </w:numPr>
      </w:pPr>
      <w:r>
        <w:t xml:space="preserve">Restaurant-Datenschutzerklärung;</w:t>
      </w:r>
    </w:p>
    <w:p>
      <w:pPr>
        <w:pStyle w:val="Compact"/>
        <w:numPr>
          <w:ilvl w:val="0"/>
          <w:numId w:val="1020"/>
        </w:numPr>
      </w:pPr>
      <w:r>
        <w:t xml:space="preserve">Restaurant-Impressumsangaben;</w:t>
      </w:r>
    </w:p>
    <w:p>
      <w:pPr>
        <w:pStyle w:val="Compact"/>
        <w:numPr>
          <w:ilvl w:val="0"/>
          <w:numId w:val="1020"/>
        </w:numPr>
      </w:pPr>
      <w:r>
        <w:t xml:space="preserve">Rewardbedingungen;</w:t>
      </w:r>
    </w:p>
    <w:p>
      <w:pPr>
        <w:pStyle w:val="Compact"/>
        <w:numPr>
          <w:ilvl w:val="0"/>
          <w:numId w:val="1020"/>
        </w:numPr>
      </w:pPr>
      <w:r>
        <w:t xml:space="preserve">Marketingeinwilligungen;</w:t>
      </w:r>
    </w:p>
    <w:p>
      <w:pPr>
        <w:pStyle w:val="Compact"/>
        <w:numPr>
          <w:ilvl w:val="0"/>
          <w:numId w:val="1020"/>
        </w:numPr>
      </w:pPr>
      <w:r>
        <w:t xml:space="preserve">Programmbeendigungsmitteilungen.</w:t>
      </w:r>
    </w:p>
    <w:bookmarkEnd w:id="59"/>
    <w:bookmarkStart w:id="60" w:name="vorlagen"/>
    <w:p>
      <w:pPr>
        <w:pStyle w:val="Heading2"/>
      </w:pPr>
      <w:r>
        <w:t xml:space="preserve">11.2 Vorlagen</w:t>
      </w:r>
    </w:p>
    <w:p>
      <w:pPr>
        <w:pStyle w:val="FirstParagraph"/>
      </w:pPr>
      <w:r>
        <w:t xml:space="preserve">WUXUAI kann technisch strukturierte Vorlagen bereitstellen.</w:t>
      </w:r>
    </w:p>
    <w:p>
      <w:pPr>
        <w:pStyle w:val="BodyText"/>
      </w:pPr>
      <w:r>
        <w:t xml:space="preserve">Vorlagen:</w:t>
      </w:r>
    </w:p>
    <w:p>
      <w:pPr>
        <w:pStyle w:val="Compact"/>
        <w:numPr>
          <w:ilvl w:val="0"/>
          <w:numId w:val="1021"/>
        </w:numPr>
      </w:pPr>
      <w:r>
        <w:t xml:space="preserve">ersetzen keine Rechtsberatung;</w:t>
      </w:r>
    </w:p>
    <w:p>
      <w:pPr>
        <w:pStyle w:val="Compact"/>
        <w:numPr>
          <w:ilvl w:val="0"/>
          <w:numId w:val="1021"/>
        </w:numPr>
      </w:pPr>
      <w:r>
        <w:t xml:space="preserve">müssen an den Kunden angepasst werden;</w:t>
      </w:r>
    </w:p>
    <w:p>
      <w:pPr>
        <w:pStyle w:val="Compact"/>
        <w:numPr>
          <w:ilvl w:val="0"/>
          <w:numId w:val="1021"/>
        </w:numPr>
      </w:pPr>
      <w:r>
        <w:t xml:space="preserve">dürfen nicht ungeprüft als allgemein rechtskonform verstanden werden;</w:t>
      </w:r>
    </w:p>
    <w:p>
      <w:pPr>
        <w:pStyle w:val="Compact"/>
        <w:numPr>
          <w:ilvl w:val="0"/>
          <w:numId w:val="1021"/>
        </w:numPr>
      </w:pPr>
      <w:r>
        <w:t xml:space="preserve">können einer anwaltlichen Freigabe bedürfen.</w:t>
      </w:r>
    </w:p>
    <w:bookmarkEnd w:id="60"/>
    <w:bookmarkStart w:id="61" w:name="live-gate"/>
    <w:p>
      <w:pPr>
        <w:pStyle w:val="Heading2"/>
      </w:pPr>
      <w:r>
        <w:t xml:space="preserve">11.3 Live-Gate</w:t>
      </w:r>
    </w:p>
    <w:p>
      <w:pPr>
        <w:pStyle w:val="FirstParagraph"/>
      </w:pPr>
      <w:r>
        <w:t xml:space="preserve">WUXUAI darf die öffentliche Aktivierung eines Restaurants technisch davon abhängig machen, dass definierte Pflichtangaben und Dokumente vorhanden sind.</w:t>
      </w:r>
    </w:p>
    <w:p>
      <w:pPr>
        <w:pStyle w:val="BodyText"/>
      </w:pPr>
      <w:r>
        <w:t xml:space="preserve">Eine technische Freigabe bedeutet keine anwaltliche Bestätigung der Inhalte.</w:t>
      </w:r>
    </w:p>
    <w:p>
      <w:r>
        <w:pict>
          <v:rect style="width:0;height:1.5pt" o:hralign="center" o:hrstd="t" o:hr="t"/>
        </w:pict>
      </w:r>
    </w:p>
    <w:bookmarkEnd w:id="61"/>
    <w:bookmarkEnd w:id="62"/>
    <w:bookmarkStart w:id="68" w:name="datenschutz"/>
    <w:p>
      <w:pPr>
        <w:pStyle w:val="Heading1"/>
      </w:pPr>
      <w:r>
        <w:t xml:space="preserve">12. Datenschutz</w:t>
      </w:r>
    </w:p>
    <w:bookmarkStart w:id="63" w:name="rollen"/>
    <w:p>
      <w:pPr>
        <w:pStyle w:val="Heading2"/>
      </w:pPr>
      <w:r>
        <w:t xml:space="preserve">12.1 Rollen</w:t>
      </w:r>
    </w:p>
    <w:p>
      <w:pPr>
        <w:pStyle w:val="FirstParagraph"/>
      </w:pPr>
      <w:r>
        <w:t xml:space="preserve">Soweit der Kunde Zwecke und wesentliche Mittel der Verarbeitung von Gastdaten bestimmt, ist der Kunde datenschutzrechtlich Verantwortlicher.</w:t>
      </w:r>
    </w:p>
    <w:p>
      <w:pPr>
        <w:pStyle w:val="BodyText"/>
      </w:pPr>
      <w:r>
        <w:t xml:space="preserve">Soweit WUXUAI diese Daten ausschließlich nach dokumentierter Weisung verarbeitet, handelt WUXUAI als Auftragsverarbeiter.</w:t>
      </w:r>
    </w:p>
    <w:p>
      <w:pPr>
        <w:pStyle w:val="BodyText"/>
      </w:pPr>
      <w:r>
        <w:t xml:space="preserve">Für eigene Zwecke, insbesondere Vertragsverwaltung, Abrechnung, eigene Sicherheit und eigene Rechtsansprüche, kann WUXUAI eigenständig Verantwortlicher sein.</w:t>
      </w:r>
    </w:p>
    <w:bookmarkEnd w:id="63"/>
    <w:bookmarkStart w:id="64" w:name="auftragsverarbeitungsvertrag"/>
    <w:p>
      <w:pPr>
        <w:pStyle w:val="Heading2"/>
      </w:pPr>
      <w:r>
        <w:t xml:space="preserve">12.2 Auftragsverarbeitungsvertrag</w:t>
      </w:r>
    </w:p>
    <w:p>
      <w:pPr>
        <w:pStyle w:val="FirstParagraph"/>
      </w:pPr>
      <w:r>
        <w:t xml:space="preserve">Vor produktiver Verarbeitung von Gastdaten ist der vereinbarte Auftragsverarbeitungsvertrag Bestandteil des Vertrags.</w:t>
      </w:r>
    </w:p>
    <w:bookmarkEnd w:id="64"/>
    <w:bookmarkStart w:id="65" w:name="weisungen"/>
    <w:p>
      <w:pPr>
        <w:pStyle w:val="Heading2"/>
      </w:pPr>
      <w:r>
        <w:t xml:space="preserve">12.3 Weisungen</w:t>
      </w:r>
    </w:p>
    <w:p>
      <w:pPr>
        <w:pStyle w:val="FirstParagraph"/>
      </w:pPr>
      <w:r>
        <w:t xml:space="preserve">Weisungen des Kunden müssen:</w:t>
      </w:r>
    </w:p>
    <w:p>
      <w:pPr>
        <w:pStyle w:val="Compact"/>
        <w:numPr>
          <w:ilvl w:val="0"/>
          <w:numId w:val="1022"/>
        </w:numPr>
      </w:pPr>
      <w:r>
        <w:t xml:space="preserve">dokumentiert;</w:t>
      </w:r>
    </w:p>
    <w:p>
      <w:pPr>
        <w:pStyle w:val="Compact"/>
        <w:numPr>
          <w:ilvl w:val="0"/>
          <w:numId w:val="1022"/>
        </w:numPr>
      </w:pPr>
      <w:r>
        <w:t xml:space="preserve">rechtmäßig;</w:t>
      </w:r>
    </w:p>
    <w:p>
      <w:pPr>
        <w:pStyle w:val="Compact"/>
        <w:numPr>
          <w:ilvl w:val="0"/>
          <w:numId w:val="1022"/>
        </w:numPr>
      </w:pPr>
      <w:r>
        <w:t xml:space="preserve">technisch umsetzbar;</w:t>
      </w:r>
    </w:p>
    <w:p>
      <w:pPr>
        <w:pStyle w:val="Compact"/>
        <w:numPr>
          <w:ilvl w:val="0"/>
          <w:numId w:val="1022"/>
        </w:numPr>
      </w:pPr>
      <w:r>
        <w:t xml:space="preserve">vom Vertragsumfang gedeckt</w:t>
      </w:r>
    </w:p>
    <w:p>
      <w:pPr>
        <w:pStyle w:val="FirstParagraph"/>
      </w:pPr>
      <w:r>
        <w:t xml:space="preserve">sein.</w:t>
      </w:r>
    </w:p>
    <w:p>
      <w:pPr>
        <w:pStyle w:val="BodyText"/>
      </w:pPr>
      <w:r>
        <w:t xml:space="preserve">WUXUAI informiert den Kunden, wenn eine Weisung nach Einschätzung von WUXUAI gegen Datenschutzrecht verstößt, soweit dies rechtlich zulässig ist.</w:t>
      </w:r>
    </w:p>
    <w:bookmarkEnd w:id="65"/>
    <w:bookmarkStart w:id="66" w:name="datenschutzanfragen"/>
    <w:p>
      <w:pPr>
        <w:pStyle w:val="Heading2"/>
      </w:pPr>
      <w:r>
        <w:t xml:space="preserve">12.4 Datenschutzanfragen</w:t>
      </w:r>
    </w:p>
    <w:p>
      <w:pPr>
        <w:pStyle w:val="FirstParagraph"/>
      </w:pPr>
      <w:r>
        <w:t xml:space="preserve">Der Kunde ist für die rechtliche Entscheidung über Anträge seiner Gäste verantwortlich.</w:t>
      </w:r>
    </w:p>
    <w:p>
      <w:pPr>
        <w:pStyle w:val="BodyText"/>
      </w:pPr>
      <w:r>
        <w:t xml:space="preserve">WUXUAI unterstützt ihn technisch im vereinbarten Umfang.</w:t>
      </w:r>
    </w:p>
    <w:bookmarkEnd w:id="66"/>
    <w:bookmarkStart w:id="67" w:name="keine-besonderen-datenkategorien"/>
    <w:p>
      <w:pPr>
        <w:pStyle w:val="Heading2"/>
      </w:pPr>
      <w:r>
        <w:t xml:space="preserve">12.5 Keine besonderen Datenkategorien</w:t>
      </w:r>
    </w:p>
    <w:p>
      <w:pPr>
        <w:pStyle w:val="FirstParagraph"/>
      </w:pPr>
      <w:r>
        <w:t xml:space="preserve">Der Kunde darf besondere Kategorien personenbezogener Daten nur eingeben, wenn dies ausdrücklich vereinbart, rechtlich zulässig und technisch vorgesehen ist.</w:t>
      </w:r>
    </w:p>
    <w:p>
      <w:r>
        <w:pict>
          <v:rect style="width:0;height:1.5pt" o:hralign="center" o:hrstd="t" o:hr="t"/>
        </w:pict>
      </w:r>
    </w:p>
    <w:bookmarkEnd w:id="67"/>
    <w:bookmarkEnd w:id="68"/>
    <w:bookmarkStart w:id="69" w:name="unterauftragsverarbeiter"/>
    <w:p>
      <w:pPr>
        <w:pStyle w:val="Heading1"/>
      </w:pPr>
      <w:r>
        <w:t xml:space="preserve">13. Unterauftragsverarbeiter</w:t>
      </w:r>
    </w:p>
    <w:p>
      <w:pPr>
        <w:pStyle w:val="FirstParagraph"/>
      </w:pPr>
      <w:r>
        <w:t xml:space="preserve">WUXUAI darf Unterauftragsverarbeiter einsetzen, wenn die Voraussetzungen des Auftragsverarbeitungsvertrags eingehalten werden.</w:t>
      </w:r>
    </w:p>
    <w:p>
      <w:pPr>
        <w:pStyle w:val="BodyText"/>
      </w:pPr>
      <w:r>
        <w:t xml:space="preserve">Eine aktuelle Liste wird elektronisch bereitgestellt.</w:t>
      </w:r>
    </w:p>
    <w:p>
      <w:pPr>
        <w:pStyle w:val="BodyText"/>
      </w:pPr>
      <w:r>
        <w:t xml:space="preserve">Der Kunde wird über wesentliche Änderungen nach der vereinbarten Informationsregel informiert.</w:t>
      </w:r>
    </w:p>
    <w:p>
      <w:r>
        <w:pict>
          <v:rect style="width:0;height:1.5pt" o:hralign="center" o:hrstd="t" o:hr="t"/>
        </w:pict>
      </w:r>
    </w:p>
    <w:bookmarkEnd w:id="69"/>
    <w:bookmarkStart w:id="74" w:name="betrieb-und-verfügbarkeit"/>
    <w:p>
      <w:pPr>
        <w:pStyle w:val="Heading1"/>
      </w:pPr>
      <w:r>
        <w:t xml:space="preserve">14. Betrieb und Verfügbarkeit</w:t>
      </w:r>
    </w:p>
    <w:bookmarkStart w:id="70" w:name="bereitstellung"/>
    <w:p>
      <w:pPr>
        <w:pStyle w:val="Heading2"/>
      </w:pPr>
      <w:r>
        <w:t xml:space="preserve">14.1 Bereitstellung</w:t>
      </w:r>
    </w:p>
    <w:p>
      <w:pPr>
        <w:pStyle w:val="FirstParagraph"/>
      </w:pPr>
      <w:r>
        <w:t xml:space="preserve">WUXUAI bemüht sich um einen stabilen und sicheren Betrieb nach dem Stand der Technik und dem vereinbarten Service-Level.</w:t>
      </w:r>
    </w:p>
    <w:bookmarkEnd w:id="70"/>
    <w:bookmarkStart w:id="71" w:name="keine-unterbrechungsfreie-garantie"/>
    <w:p>
      <w:pPr>
        <w:pStyle w:val="Heading2"/>
      </w:pPr>
      <w:r>
        <w:t xml:space="preserve">14.2 Keine unterbrechungsfreie Garantie</w:t>
      </w:r>
    </w:p>
    <w:p>
      <w:pPr>
        <w:pStyle w:val="FirstParagraph"/>
      </w:pPr>
      <w:r>
        <w:t xml:space="preserve">Eine vollständig unterbrechungsfreie oder fehlerfreie Verfügbarkeit kann nicht garantiert werden.</w:t>
      </w:r>
    </w:p>
    <w:p>
      <w:pPr>
        <w:pStyle w:val="BodyText"/>
      </w:pPr>
      <w:r>
        <w:t xml:space="preserve">Ausfälle können insbesondere entstehen durch:</w:t>
      </w:r>
    </w:p>
    <w:p>
      <w:pPr>
        <w:pStyle w:val="Compact"/>
        <w:numPr>
          <w:ilvl w:val="0"/>
          <w:numId w:val="1023"/>
        </w:numPr>
      </w:pPr>
      <w:r>
        <w:t xml:space="preserve">Wartung;</w:t>
      </w:r>
    </w:p>
    <w:p>
      <w:pPr>
        <w:pStyle w:val="Compact"/>
        <w:numPr>
          <w:ilvl w:val="0"/>
          <w:numId w:val="1023"/>
        </w:numPr>
      </w:pPr>
      <w:r>
        <w:t xml:space="preserve">Sicherheitsmaßnahmen;</w:t>
      </w:r>
    </w:p>
    <w:p>
      <w:pPr>
        <w:pStyle w:val="Compact"/>
        <w:numPr>
          <w:ilvl w:val="0"/>
          <w:numId w:val="1023"/>
        </w:numPr>
      </w:pPr>
      <w:r>
        <w:t xml:space="preserve">Internetstörungen;</w:t>
      </w:r>
    </w:p>
    <w:p>
      <w:pPr>
        <w:pStyle w:val="Compact"/>
        <w:numPr>
          <w:ilvl w:val="0"/>
          <w:numId w:val="1023"/>
        </w:numPr>
      </w:pPr>
      <w:r>
        <w:t xml:space="preserve">Drittanbieterausfälle;</w:t>
      </w:r>
    </w:p>
    <w:p>
      <w:pPr>
        <w:pStyle w:val="Compact"/>
        <w:numPr>
          <w:ilvl w:val="0"/>
          <w:numId w:val="1023"/>
        </w:numPr>
      </w:pPr>
      <w:r>
        <w:t xml:space="preserve">höhere Gewalt;</w:t>
      </w:r>
    </w:p>
    <w:p>
      <w:pPr>
        <w:pStyle w:val="Compact"/>
        <w:numPr>
          <w:ilvl w:val="0"/>
          <w:numId w:val="1023"/>
        </w:numPr>
      </w:pPr>
      <w:r>
        <w:t xml:space="preserve">Angriffe;</w:t>
      </w:r>
    </w:p>
    <w:p>
      <w:pPr>
        <w:pStyle w:val="Compact"/>
        <w:numPr>
          <w:ilvl w:val="0"/>
          <w:numId w:val="1023"/>
        </w:numPr>
      </w:pPr>
      <w:r>
        <w:t xml:space="preserve">notwendige Updates;</w:t>
      </w:r>
    </w:p>
    <w:p>
      <w:pPr>
        <w:pStyle w:val="Compact"/>
        <w:numPr>
          <w:ilvl w:val="0"/>
          <w:numId w:val="1023"/>
        </w:numPr>
      </w:pPr>
      <w:r>
        <w:t xml:space="preserve">Ursachen im Verantwortungsbereich des Kunden.</w:t>
      </w:r>
    </w:p>
    <w:bookmarkEnd w:id="71"/>
    <w:bookmarkStart w:id="72" w:name="wartung"/>
    <w:p>
      <w:pPr>
        <w:pStyle w:val="Heading2"/>
      </w:pPr>
      <w:r>
        <w:t xml:space="preserve">14.3 Wartung</w:t>
      </w:r>
    </w:p>
    <w:p>
      <w:pPr>
        <w:pStyle w:val="FirstParagraph"/>
      </w:pPr>
      <w:r>
        <w:t xml:space="preserve">Geplante Wartungsarbeiten werden, soweit möglich und zumutbar, angekündigt.</w:t>
      </w:r>
    </w:p>
    <w:p>
      <w:pPr>
        <w:pStyle w:val="BodyText"/>
      </w:pPr>
      <w:r>
        <w:t xml:space="preserve">Dringende Sicherheitsmaßnahmen dürfen ohne Vorankündigung durchgeführt werden.</w:t>
      </w:r>
    </w:p>
    <w:bookmarkEnd w:id="72"/>
    <w:bookmarkStart w:id="73" w:name="drittanbieter"/>
    <w:p>
      <w:pPr>
        <w:pStyle w:val="Heading2"/>
      </w:pPr>
      <w:r>
        <w:t xml:space="preserve">14.4 Drittanbieter</w:t>
      </w:r>
    </w:p>
    <w:p>
      <w:pPr>
        <w:pStyle w:val="FirstParagraph"/>
      </w:pPr>
      <w:r>
        <w:t xml:space="preserve">Bestimmte Funktionen hängen von Drittanbietern ab, insbesondere Hosting-, Datenbank-, Zahlungs-, Karten- oder Kommunikationsanbietern.</w:t>
      </w:r>
    </w:p>
    <w:p>
      <w:pPr>
        <w:pStyle w:val="BodyText"/>
      </w:pPr>
      <w:r>
        <w:t xml:space="preserve">WUXUAI haftet für Drittanbieter im Rahmen der gesetzlichen und vertraglich zulässigen Regeln, übernimmt aber keine weitergehende Garantie für deren ständige Verfügbarkeit.</w:t>
      </w:r>
    </w:p>
    <w:p>
      <w:r>
        <w:pict>
          <v:rect style="width:0;height:1.5pt" o:hralign="center" o:hrstd="t" o:hr="t"/>
        </w:pict>
      </w:r>
    </w:p>
    <w:bookmarkEnd w:id="73"/>
    <w:bookmarkEnd w:id="74"/>
    <w:bookmarkStart w:id="78" w:name="änderungen-der-plattform"/>
    <w:p>
      <w:pPr>
        <w:pStyle w:val="Heading1"/>
      </w:pPr>
      <w:r>
        <w:t xml:space="preserve">15. Änderungen der Plattform</w:t>
      </w:r>
    </w:p>
    <w:bookmarkStart w:id="75" w:name="weiterentwicklung"/>
    <w:p>
      <w:pPr>
        <w:pStyle w:val="Heading2"/>
      </w:pPr>
      <w:r>
        <w:t xml:space="preserve">15.1 Weiterentwicklung</w:t>
      </w:r>
    </w:p>
    <w:p>
      <w:pPr>
        <w:pStyle w:val="FirstParagraph"/>
      </w:pPr>
      <w:r>
        <w:t xml:space="preserve">WUXUAI darf die Plattform weiterentwickeln und Funktionen verändern, insbesondere zur:</w:t>
      </w:r>
    </w:p>
    <w:p>
      <w:pPr>
        <w:pStyle w:val="Compact"/>
        <w:numPr>
          <w:ilvl w:val="0"/>
          <w:numId w:val="1024"/>
        </w:numPr>
      </w:pPr>
      <w:r>
        <w:t xml:space="preserve">Verbesserung;</w:t>
      </w:r>
    </w:p>
    <w:p>
      <w:pPr>
        <w:pStyle w:val="Compact"/>
        <w:numPr>
          <w:ilvl w:val="0"/>
          <w:numId w:val="1024"/>
        </w:numPr>
      </w:pPr>
      <w:r>
        <w:t xml:space="preserve">Sicherheit;</w:t>
      </w:r>
    </w:p>
    <w:p>
      <w:pPr>
        <w:pStyle w:val="Compact"/>
        <w:numPr>
          <w:ilvl w:val="0"/>
          <w:numId w:val="1024"/>
        </w:numPr>
      </w:pPr>
      <w:r>
        <w:t xml:space="preserve">Fehlerbehebung;</w:t>
      </w:r>
    </w:p>
    <w:p>
      <w:pPr>
        <w:pStyle w:val="Compact"/>
        <w:numPr>
          <w:ilvl w:val="0"/>
          <w:numId w:val="1024"/>
        </w:numPr>
      </w:pPr>
      <w:r>
        <w:t xml:space="preserve">Anpassung an Gesetze;</w:t>
      </w:r>
    </w:p>
    <w:p>
      <w:pPr>
        <w:pStyle w:val="Compact"/>
        <w:numPr>
          <w:ilvl w:val="0"/>
          <w:numId w:val="1024"/>
        </w:numPr>
      </w:pPr>
      <w:r>
        <w:t xml:space="preserve">Anpassung an technische Standards;</w:t>
      </w:r>
    </w:p>
    <w:p>
      <w:pPr>
        <w:pStyle w:val="Compact"/>
        <w:numPr>
          <w:ilvl w:val="0"/>
          <w:numId w:val="1024"/>
        </w:numPr>
      </w:pPr>
      <w:r>
        <w:t xml:space="preserve">Vermeidung von Missbrauch.</w:t>
      </w:r>
    </w:p>
    <w:bookmarkEnd w:id="75"/>
    <w:bookmarkStart w:id="76" w:name="wesentliche-einschränkungen"/>
    <w:p>
      <w:pPr>
        <w:pStyle w:val="Heading2"/>
      </w:pPr>
      <w:r>
        <w:t xml:space="preserve">15.2 Wesentliche Einschränkungen</w:t>
      </w:r>
    </w:p>
    <w:p>
      <w:pPr>
        <w:pStyle w:val="FirstParagraph"/>
      </w:pPr>
      <w:r>
        <w:t xml:space="preserve">Wesentliche dauerhafte Einschränkungen vertraglicher Kernfunktionen werden dem Kunden angemessen vorab mitgeteilt.</w:t>
      </w:r>
    </w:p>
    <w:p>
      <w:pPr>
        <w:pStyle w:val="BodyText"/>
      </w:pPr>
      <w:r>
        <w:t xml:space="preserve">Ist die Änderung für den Kunden unzumutbar und betrifft sie eine wesentliche Vertragsleistung, erhält der Kunde ein angemessenes Sonderkündigungsrecht, soweit keine gleichwertige Ersatzfunktion bereitgestellt wird und die Änderung nicht gesetzlich oder sicherheitsbedingt zwingend ist.</w:t>
      </w:r>
    </w:p>
    <w:bookmarkEnd w:id="76"/>
    <w:bookmarkStart w:id="77" w:name="beta-funktionen"/>
    <w:p>
      <w:pPr>
        <w:pStyle w:val="Heading2"/>
      </w:pPr>
      <w:r>
        <w:t xml:space="preserve">15.3 Beta-Funktionen</w:t>
      </w:r>
    </w:p>
    <w:p>
      <w:pPr>
        <w:pStyle w:val="FirstParagraph"/>
      </w:pPr>
      <w:r>
        <w:t xml:space="preserve">Als Test, Beta oder Preview gekennzeichnete Funktionen:</w:t>
      </w:r>
    </w:p>
    <w:p>
      <w:pPr>
        <w:pStyle w:val="Compact"/>
        <w:numPr>
          <w:ilvl w:val="0"/>
          <w:numId w:val="1025"/>
        </w:numPr>
      </w:pPr>
      <w:r>
        <w:t xml:space="preserve">können unvollständig sein;</w:t>
      </w:r>
    </w:p>
    <w:p>
      <w:pPr>
        <w:pStyle w:val="Compact"/>
        <w:numPr>
          <w:ilvl w:val="0"/>
          <w:numId w:val="1025"/>
        </w:numPr>
      </w:pPr>
      <w:r>
        <w:t xml:space="preserve">können geändert oder eingestellt werden;</w:t>
      </w:r>
    </w:p>
    <w:p>
      <w:pPr>
        <w:pStyle w:val="Compact"/>
        <w:numPr>
          <w:ilvl w:val="0"/>
          <w:numId w:val="1025"/>
        </w:numPr>
      </w:pPr>
      <w:r>
        <w:t xml:space="preserve">dürfen nicht ohne Prüfung für geschäftskritische Vorgänge eingesetzt werden.</w:t>
      </w:r>
    </w:p>
    <w:p>
      <w:r>
        <w:pict>
          <v:rect style="width:0;height:1.5pt" o:hralign="center" o:hrstd="t" o:hr="t"/>
        </w:pict>
      </w:r>
    </w:p>
    <w:bookmarkEnd w:id="77"/>
    <w:bookmarkEnd w:id="78"/>
    <w:bookmarkStart w:id="82" w:name="support"/>
    <w:p>
      <w:pPr>
        <w:pStyle w:val="Heading1"/>
      </w:pPr>
      <w:r>
        <w:t xml:space="preserve">16. Support</w:t>
      </w:r>
    </w:p>
    <w:bookmarkStart w:id="79" w:name="supportumfang"/>
    <w:p>
      <w:pPr>
        <w:pStyle w:val="Heading2"/>
      </w:pPr>
      <w:r>
        <w:t xml:space="preserve">16.1 Supportumfang</w:t>
      </w:r>
    </w:p>
    <w:p>
      <w:pPr>
        <w:pStyle w:val="FirstParagraph"/>
      </w:pPr>
      <w:r>
        <w:t xml:space="preserve">Support wird nach dem gebuchten Tarif bereitgestellt.</w:t>
      </w:r>
    </w:p>
    <w:p>
      <w:pPr>
        <w:pStyle w:val="BodyText"/>
      </w:pPr>
      <w:r>
        <w:t xml:space="preserve">Mögliche Kanäle:</w:t>
      </w:r>
    </w:p>
    <w:p>
      <w:pPr>
        <w:pStyle w:val="Compact"/>
        <w:numPr>
          <w:ilvl w:val="0"/>
          <w:numId w:val="1026"/>
        </w:numPr>
      </w:pPr>
      <w:r>
        <w:t xml:space="preserve">E-Mail;</w:t>
      </w:r>
    </w:p>
    <w:p>
      <w:pPr>
        <w:pStyle w:val="Compact"/>
        <w:numPr>
          <w:ilvl w:val="0"/>
          <w:numId w:val="1026"/>
        </w:numPr>
      </w:pPr>
      <w:r>
        <w:t xml:space="preserve">Supportportal;</w:t>
      </w:r>
    </w:p>
    <w:p>
      <w:pPr>
        <w:pStyle w:val="Compact"/>
        <w:numPr>
          <w:ilvl w:val="0"/>
          <w:numId w:val="1026"/>
        </w:numPr>
      </w:pPr>
      <w:r>
        <w:t xml:space="preserve">vereinbarte Chatfunktion;</w:t>
      </w:r>
    </w:p>
    <w:p>
      <w:pPr>
        <w:pStyle w:val="Compact"/>
        <w:numPr>
          <w:ilvl w:val="0"/>
          <w:numId w:val="1026"/>
        </w:numPr>
      </w:pPr>
      <w:r>
        <w:t xml:space="preserve">telefonischer Support, sofern gebucht.</w:t>
      </w:r>
    </w:p>
    <w:bookmarkEnd w:id="79"/>
    <w:bookmarkStart w:id="80" w:name="nicht-umfasst"/>
    <w:p>
      <w:pPr>
        <w:pStyle w:val="Heading2"/>
      </w:pPr>
      <w:r>
        <w:t xml:space="preserve">16.2 Nicht umfasst</w:t>
      </w:r>
    </w:p>
    <w:p>
      <w:pPr>
        <w:pStyle w:val="FirstParagraph"/>
      </w:pPr>
      <w:r>
        <w:t xml:space="preserve">Nicht im Standardsupport enthalten sind insbesondere:</w:t>
      </w:r>
    </w:p>
    <w:p>
      <w:pPr>
        <w:pStyle w:val="Compact"/>
        <w:numPr>
          <w:ilvl w:val="0"/>
          <w:numId w:val="1027"/>
        </w:numPr>
      </w:pPr>
      <w:r>
        <w:t xml:space="preserve">individuelle Rechtsberatung;</w:t>
      </w:r>
    </w:p>
    <w:p>
      <w:pPr>
        <w:pStyle w:val="Compact"/>
        <w:numPr>
          <w:ilvl w:val="0"/>
          <w:numId w:val="1027"/>
        </w:numPr>
      </w:pPr>
      <w:r>
        <w:t xml:space="preserve">Steuerberatung;</w:t>
      </w:r>
    </w:p>
    <w:p>
      <w:pPr>
        <w:pStyle w:val="Compact"/>
        <w:numPr>
          <w:ilvl w:val="0"/>
          <w:numId w:val="1027"/>
        </w:numPr>
      </w:pPr>
      <w:r>
        <w:t xml:space="preserve">umfassende Datenbereinigung aufgrund falscher Kundeneingaben;</w:t>
      </w:r>
    </w:p>
    <w:p>
      <w:pPr>
        <w:pStyle w:val="Compact"/>
        <w:numPr>
          <w:ilvl w:val="0"/>
          <w:numId w:val="1027"/>
        </w:numPr>
      </w:pPr>
      <w:r>
        <w:t xml:space="preserve">kundenspezifische Entwicklung;</w:t>
      </w:r>
    </w:p>
    <w:p>
      <w:pPr>
        <w:pStyle w:val="Compact"/>
        <w:numPr>
          <w:ilvl w:val="0"/>
          <w:numId w:val="1027"/>
        </w:numPr>
      </w:pPr>
      <w:r>
        <w:t xml:space="preserve">Vor-Ort-Schulung;</w:t>
      </w:r>
    </w:p>
    <w:p>
      <w:pPr>
        <w:pStyle w:val="Compact"/>
        <w:numPr>
          <w:ilvl w:val="0"/>
          <w:numId w:val="1027"/>
        </w:numPr>
      </w:pPr>
      <w:r>
        <w:t xml:space="preserve">Probleme fremder Systeme außerhalb des Einflussbereichs von WUXUAI.</w:t>
      </w:r>
    </w:p>
    <w:bookmarkEnd w:id="80"/>
    <w:bookmarkStart w:id="81" w:name="supportzugriff"/>
    <w:p>
      <w:pPr>
        <w:pStyle w:val="Heading2"/>
      </w:pPr>
      <w:r>
        <w:t xml:space="preserve">16.3 Supportzugriff</w:t>
      </w:r>
    </w:p>
    <w:p>
      <w:pPr>
        <w:pStyle w:val="FirstParagraph"/>
      </w:pPr>
      <w:r>
        <w:t xml:space="preserve">Ist zur Fehlerbehebung ein Zugriff auf Kundendaten erforderlich, erfolgt er:</w:t>
      </w:r>
    </w:p>
    <w:p>
      <w:pPr>
        <w:pStyle w:val="Compact"/>
        <w:numPr>
          <w:ilvl w:val="0"/>
          <w:numId w:val="1028"/>
        </w:numPr>
      </w:pPr>
      <w:r>
        <w:t xml:space="preserve">nur im notwendigen Umfang;</w:t>
      </w:r>
    </w:p>
    <w:p>
      <w:pPr>
        <w:pStyle w:val="Compact"/>
        <w:numPr>
          <w:ilvl w:val="0"/>
          <w:numId w:val="1028"/>
        </w:numPr>
      </w:pPr>
      <w:r>
        <w:t xml:space="preserve">durch berechtigte Personen;</w:t>
      </w:r>
    </w:p>
    <w:p>
      <w:pPr>
        <w:pStyle w:val="Compact"/>
        <w:numPr>
          <w:ilvl w:val="0"/>
          <w:numId w:val="1028"/>
        </w:numPr>
      </w:pPr>
      <w:r>
        <w:t xml:space="preserve">zu einem dokumentierten Zweck;</w:t>
      </w:r>
    </w:p>
    <w:p>
      <w:pPr>
        <w:pStyle w:val="Compact"/>
        <w:numPr>
          <w:ilvl w:val="0"/>
          <w:numId w:val="1028"/>
        </w:numPr>
      </w:pPr>
      <w:r>
        <w:t xml:space="preserve">nach den Datenschutz- und Sicherheitsvorgaben.</w:t>
      </w:r>
    </w:p>
    <w:p>
      <w:r>
        <w:pict>
          <v:rect style="width:0;height:1.5pt" o:hralign="center" o:hrstd="t" o:hr="t"/>
        </w:pict>
      </w:r>
    </w:p>
    <w:bookmarkEnd w:id="81"/>
    <w:bookmarkEnd w:id="82"/>
    <w:bookmarkStart w:id="87" w:name="entgelt"/>
    <w:p>
      <w:pPr>
        <w:pStyle w:val="Heading1"/>
      </w:pPr>
      <w:r>
        <w:t xml:space="preserve">17. Entgelt</w:t>
      </w:r>
    </w:p>
    <w:bookmarkStart w:id="83" w:name="preise"/>
    <w:p>
      <w:pPr>
        <w:pStyle w:val="Heading2"/>
      </w:pPr>
      <w:r>
        <w:t xml:space="preserve">17.1 Preise</w:t>
      </w:r>
    </w:p>
    <w:p>
      <w:pPr>
        <w:pStyle w:val="FirstParagraph"/>
      </w:pPr>
      <w:r>
        <w:t xml:space="preserve">Es gelten die im Angebot oder Bestellformular vereinbarten Preise.</w:t>
      </w:r>
    </w:p>
    <w:p>
      <w:pPr>
        <w:pStyle w:val="BodyText"/>
      </w:pPr>
      <w:r>
        <w:t xml:space="preserve">Sofern nicht anders angegeben, verstehen sich alle Preise:</w:t>
      </w:r>
    </w:p>
    <w:p>
      <w:pPr>
        <w:pStyle w:val="Compact"/>
        <w:numPr>
          <w:ilvl w:val="0"/>
          <w:numId w:val="1029"/>
        </w:numPr>
      </w:pPr>
      <w:r>
        <w:t xml:space="preserve">netto;</w:t>
      </w:r>
    </w:p>
    <w:p>
      <w:pPr>
        <w:pStyle w:val="Compact"/>
        <w:numPr>
          <w:ilvl w:val="0"/>
          <w:numId w:val="1029"/>
        </w:numPr>
      </w:pPr>
      <w:r>
        <w:t xml:space="preserve">zuzüglich gesetzlicher Umsatzsteuer;</w:t>
      </w:r>
    </w:p>
    <w:p>
      <w:pPr>
        <w:pStyle w:val="Compact"/>
        <w:numPr>
          <w:ilvl w:val="0"/>
          <w:numId w:val="1029"/>
        </w:numPr>
      </w:pPr>
      <w:r>
        <w:t xml:space="preserve">zuzüglich vereinbarter Zusatzleistungen.</w:t>
      </w:r>
    </w:p>
    <w:bookmarkEnd w:id="83"/>
    <w:bookmarkStart w:id="84" w:name="filialen-und-zusatzmodule"/>
    <w:p>
      <w:pPr>
        <w:pStyle w:val="Heading2"/>
      </w:pPr>
      <w:r>
        <w:t xml:space="preserve">17.2 Filialen und Zusatzmodule</w:t>
      </w:r>
    </w:p>
    <w:p>
      <w:pPr>
        <w:pStyle w:val="FirstParagraph"/>
      </w:pPr>
      <w:r>
        <w:t xml:space="preserve">Zusätzliche Filialen, Nutzer, Nachrichtenvolumen, Speicher, Module oder Serviceleistungen können gesondert verrechnet werden.</w:t>
      </w:r>
    </w:p>
    <w:bookmarkEnd w:id="84"/>
    <w:bookmarkStart w:id="85" w:name="abrechnung"/>
    <w:p>
      <w:pPr>
        <w:pStyle w:val="Heading2"/>
      </w:pPr>
      <w:r>
        <w:t xml:space="preserve">17.3 Abrechnung</w:t>
      </w:r>
    </w:p>
    <w:p>
      <w:pPr>
        <w:pStyle w:val="FirstParagraph"/>
      </w:pPr>
      <w:r>
        <w:t xml:space="preserve">Die Abrechnung erfolgt gemäß Vertrag:</w:t>
      </w:r>
    </w:p>
    <w:p>
      <w:pPr>
        <w:pStyle w:val="Compact"/>
        <w:numPr>
          <w:ilvl w:val="0"/>
          <w:numId w:val="1030"/>
        </w:numPr>
      </w:pPr>
      <w:r>
        <w:t xml:space="preserve">monatlich;</w:t>
      </w:r>
    </w:p>
    <w:p>
      <w:pPr>
        <w:pStyle w:val="Compact"/>
        <w:numPr>
          <w:ilvl w:val="0"/>
          <w:numId w:val="1030"/>
        </w:numPr>
      </w:pPr>
      <w:r>
        <w:t xml:space="preserve">jährlich; oder</w:t>
      </w:r>
    </w:p>
    <w:p>
      <w:pPr>
        <w:pStyle w:val="Compact"/>
        <w:numPr>
          <w:ilvl w:val="0"/>
          <w:numId w:val="1030"/>
        </w:numPr>
      </w:pPr>
      <w:r>
        <w:t xml:space="preserve">nach individuell vereinbartem Zeitraum.</w:t>
      </w:r>
    </w:p>
    <w:bookmarkEnd w:id="85"/>
    <w:bookmarkStart w:id="86" w:name="elektronische-rechnung"/>
    <w:p>
      <w:pPr>
        <w:pStyle w:val="Heading2"/>
      </w:pPr>
      <w:r>
        <w:t xml:space="preserve">17.4 Elektronische Rechnung</w:t>
      </w:r>
    </w:p>
    <w:p>
      <w:pPr>
        <w:pStyle w:val="FirstParagraph"/>
      </w:pPr>
      <w:r>
        <w:t xml:space="preserve">Der Kunde stimmt dem Erhalt elektronischer Rechnungen an die hinterlegte Rechnungsadresse zu.</w:t>
      </w:r>
    </w:p>
    <w:p>
      <w:r>
        <w:pict>
          <v:rect style="width:0;height:1.5pt" o:hralign="center" o:hrstd="t" o:hr="t"/>
        </w:pict>
      </w:r>
    </w:p>
    <w:bookmarkEnd w:id="86"/>
    <w:bookmarkEnd w:id="87"/>
    <w:bookmarkStart w:id="91" w:name="zahlungsbedingungen"/>
    <w:p>
      <w:pPr>
        <w:pStyle w:val="Heading1"/>
      </w:pPr>
      <w:r>
        <w:t xml:space="preserve">18. Zahlungsbedingungen</w:t>
      </w:r>
    </w:p>
    <w:bookmarkStart w:id="88" w:name="fälligkeit"/>
    <w:p>
      <w:pPr>
        <w:pStyle w:val="Heading2"/>
      </w:pPr>
      <w:r>
        <w:t xml:space="preserve">18.1 Fälligkeit</w:t>
      </w:r>
    </w:p>
    <w:p>
      <w:pPr>
        <w:pStyle w:val="FirstParagraph"/>
      </w:pPr>
      <w:r>
        <w:t xml:space="preserve">Rechnungen sind innerhalb der im Bestellformular oder auf der Rechnung angegebenen Frist ohne Abzug fällig.</w:t>
      </w:r>
    </w:p>
    <w:p>
      <w:pPr>
        <w:pStyle w:val="BodyText"/>
      </w:pPr>
      <w:r>
        <w:t xml:space="preserve">Fehlt eine besondere Regelung, gilt eine Zahlungsfrist von:</w:t>
      </w:r>
    </w:p>
    <w:p>
      <w:pPr>
        <w:pStyle w:val="SourceCode"/>
      </w:pPr>
      <w:r>
        <w:rPr>
          <w:rStyle w:val="VerbatimChar"/>
        </w:rPr>
        <w:t xml:space="preserve">14 Kalendertagen ab Rechnungsdatum</w:t>
      </w:r>
    </w:p>
    <w:p>
      <w:pPr>
        <w:pStyle w:val="FirstParagraph"/>
      </w:pPr>
      <w:r>
        <w:t xml:space="preserve">Diese Frist ist steuerlich und anwaltlich zu bestätigen.</w:t>
      </w:r>
    </w:p>
    <w:bookmarkEnd w:id="88"/>
    <w:bookmarkStart w:id="89" w:name="zahlungsmittel"/>
    <w:p>
      <w:pPr>
        <w:pStyle w:val="Heading2"/>
      </w:pPr>
      <w:r>
        <w:t xml:space="preserve">18.2 Zahlungsmittel</w:t>
      </w:r>
    </w:p>
    <w:p>
      <w:pPr>
        <w:pStyle w:val="FirstParagraph"/>
      </w:pPr>
      <w:r>
        <w:t xml:space="preserve">WUXUAI kann insbesondere anbieten:</w:t>
      </w:r>
    </w:p>
    <w:p>
      <w:pPr>
        <w:pStyle w:val="Compact"/>
        <w:numPr>
          <w:ilvl w:val="0"/>
          <w:numId w:val="1031"/>
        </w:numPr>
      </w:pPr>
      <w:r>
        <w:t xml:space="preserve">SEPA-Lastschrift;</w:t>
      </w:r>
    </w:p>
    <w:p>
      <w:pPr>
        <w:pStyle w:val="Compact"/>
        <w:numPr>
          <w:ilvl w:val="0"/>
          <w:numId w:val="1031"/>
        </w:numPr>
      </w:pPr>
      <w:r>
        <w:t xml:space="preserve">Kreditkarte;</w:t>
      </w:r>
    </w:p>
    <w:p>
      <w:pPr>
        <w:pStyle w:val="Compact"/>
        <w:numPr>
          <w:ilvl w:val="0"/>
          <w:numId w:val="1031"/>
        </w:numPr>
      </w:pPr>
      <w:r>
        <w:t xml:space="preserve">Überweisung;</w:t>
      </w:r>
    </w:p>
    <w:p>
      <w:pPr>
        <w:pStyle w:val="Compact"/>
        <w:numPr>
          <w:ilvl w:val="0"/>
          <w:numId w:val="1031"/>
        </w:numPr>
      </w:pPr>
      <w:r>
        <w:t xml:space="preserve">Stripe-basierte Zahlungsmethoden.</w:t>
      </w:r>
    </w:p>
    <w:bookmarkEnd w:id="89"/>
    <w:bookmarkStart w:id="90" w:name="einwendungen"/>
    <w:p>
      <w:pPr>
        <w:pStyle w:val="Heading2"/>
      </w:pPr>
      <w:r>
        <w:t xml:space="preserve">18.3 Einwendungen</w:t>
      </w:r>
    </w:p>
    <w:p>
      <w:pPr>
        <w:pStyle w:val="FirstParagraph"/>
      </w:pPr>
      <w:r>
        <w:t xml:space="preserve">Begründete Einwendungen gegen eine Rechnung sind unverzüglich schriftlich mitzuteilen.</w:t>
      </w:r>
    </w:p>
    <w:p>
      <w:pPr>
        <w:pStyle w:val="BodyText"/>
      </w:pPr>
      <w:r>
        <w:t xml:space="preserve">Unbestrittene Teile bleiben fällig.</w:t>
      </w:r>
    </w:p>
    <w:p>
      <w:r>
        <w:pict>
          <v:rect style="width:0;height:1.5pt" o:hralign="center" o:hrstd="t" o:hr="t"/>
        </w:pict>
      </w:r>
    </w:p>
    <w:bookmarkEnd w:id="90"/>
    <w:bookmarkEnd w:id="91"/>
    <w:bookmarkStart w:id="97" w:name="zahlungsverzug"/>
    <w:p>
      <w:pPr>
        <w:pStyle w:val="Heading1"/>
      </w:pPr>
      <w:r>
        <w:t xml:space="preserve">19. Zahlungsverzug</w:t>
      </w:r>
    </w:p>
    <w:bookmarkStart w:id="92" w:name="verzugszinsen"/>
    <w:p>
      <w:pPr>
        <w:pStyle w:val="Heading2"/>
      </w:pPr>
      <w:r>
        <w:t xml:space="preserve">19.1 Verzugszinsen</w:t>
      </w:r>
    </w:p>
    <w:p>
      <w:pPr>
        <w:pStyle w:val="FirstParagraph"/>
      </w:pPr>
      <w:r>
        <w:t xml:space="preserve">Bei vom Kunden zu verantwortendem Zahlungsverzug gelten die gesetzlichen Verzugszinsen für Unternehmergeschäfte, sofern keine zulässige abweichende Vereinbarung getroffen wurde.</w:t>
      </w:r>
    </w:p>
    <w:bookmarkEnd w:id="92"/>
    <w:bookmarkStart w:id="93" w:name="betreibungskosten"/>
    <w:p>
      <w:pPr>
        <w:pStyle w:val="Heading2"/>
      </w:pPr>
      <w:r>
        <w:t xml:space="preserve">19.2 Betreibungskosten</w:t>
      </w:r>
    </w:p>
    <w:p>
      <w:pPr>
        <w:pStyle w:val="FirstParagraph"/>
      </w:pPr>
      <w:r>
        <w:t xml:space="preserve">Der Kunde ersetzt angemessene und notwendige Kosten der außergerichtlichen und gerichtlichen Forderungseintreibung nach den gesetzlichen Vorschriften.</w:t>
      </w:r>
    </w:p>
    <w:bookmarkEnd w:id="93"/>
    <w:bookmarkStart w:id="94" w:name="mahnung-und-nachfrist"/>
    <w:p>
      <w:pPr>
        <w:pStyle w:val="Heading2"/>
      </w:pPr>
      <w:r>
        <w:t xml:space="preserve">19.3 Mahnung und Nachfrist</w:t>
      </w:r>
    </w:p>
    <w:p>
      <w:pPr>
        <w:pStyle w:val="FirstParagraph"/>
      </w:pPr>
      <w:r>
        <w:t xml:space="preserve">WUXUAI kann:</w:t>
      </w:r>
    </w:p>
    <w:p>
      <w:pPr>
        <w:pStyle w:val="Compact"/>
        <w:numPr>
          <w:ilvl w:val="0"/>
          <w:numId w:val="1032"/>
        </w:numPr>
      </w:pPr>
      <w:r>
        <w:t xml:space="preserve">eine Zahlungserinnerung senden;</w:t>
      </w:r>
    </w:p>
    <w:p>
      <w:pPr>
        <w:pStyle w:val="Compact"/>
        <w:numPr>
          <w:ilvl w:val="0"/>
          <w:numId w:val="1032"/>
        </w:numPr>
      </w:pPr>
      <w:r>
        <w:t xml:space="preserve">eine angemessene Nachfrist setzen;</w:t>
      </w:r>
    </w:p>
    <w:p>
      <w:pPr>
        <w:pStyle w:val="Compact"/>
        <w:numPr>
          <w:ilvl w:val="0"/>
          <w:numId w:val="1032"/>
        </w:numPr>
      </w:pPr>
      <w:r>
        <w:t xml:space="preserve">nach erfolglosem Ablauf Funktionen einschränken;</w:t>
      </w:r>
    </w:p>
    <w:p>
      <w:pPr>
        <w:pStyle w:val="Compact"/>
        <w:numPr>
          <w:ilvl w:val="0"/>
          <w:numId w:val="1032"/>
        </w:numPr>
      </w:pPr>
      <w:r>
        <w:t xml:space="preserve">bei fortgesetztem Verzug den Vertrag kündigen.</w:t>
      </w:r>
    </w:p>
    <w:bookmarkEnd w:id="94"/>
    <w:bookmarkStart w:id="95" w:name="keine-sofortige-datenlöschung"/>
    <w:p>
      <w:pPr>
        <w:pStyle w:val="Heading2"/>
      </w:pPr>
      <w:r>
        <w:t xml:space="preserve">19.4 Keine sofortige Datenlöschung</w:t>
      </w:r>
    </w:p>
    <w:p>
      <w:pPr>
        <w:pStyle w:val="FirstParagraph"/>
      </w:pPr>
      <w:r>
        <w:t xml:space="preserve">Zahlungsverzug führt nicht automatisch zur sofortigen Löschung von Kundendaten.</w:t>
      </w:r>
    </w:p>
    <w:p>
      <w:pPr>
        <w:pStyle w:val="BodyText"/>
      </w:pPr>
      <w:r>
        <w:t xml:space="preserve">Datenschutz-, Aufbewahrungs- und Datenrückgabepflichten bleiben unabhängig vom Zahlungsstatus zu beachten.</w:t>
      </w:r>
    </w:p>
    <w:bookmarkEnd w:id="95"/>
    <w:bookmarkStart w:id="96" w:name="programmauswirkungen"/>
    <w:p>
      <w:pPr>
        <w:pStyle w:val="Heading2"/>
      </w:pPr>
      <w:r>
        <w:t xml:space="preserve">19.5 Programmauswirkungen</w:t>
      </w:r>
    </w:p>
    <w:p>
      <w:pPr>
        <w:pStyle w:val="FirstParagraph"/>
      </w:pPr>
      <w:r>
        <w:t xml:space="preserve">Eine Sperrung des SaaS-Zugangs entlastet den Kunden nicht automatisch von seinen Pflichten gegenüber Gästen.</w:t>
      </w:r>
    </w:p>
    <w:p>
      <w:pPr>
        <w:pStyle w:val="BodyText"/>
      </w:pPr>
      <w:r>
        <w:t xml:space="preserve">Der Kunde bleibt insbesondere verantwortlich für:</w:t>
      </w:r>
    </w:p>
    <w:p>
      <w:pPr>
        <w:pStyle w:val="Compact"/>
        <w:numPr>
          <w:ilvl w:val="0"/>
          <w:numId w:val="1033"/>
        </w:numPr>
      </w:pPr>
      <w:r>
        <w:t xml:space="preserve">offene Rewards;</w:t>
      </w:r>
    </w:p>
    <w:p>
      <w:pPr>
        <w:pStyle w:val="Compact"/>
        <w:numPr>
          <w:ilvl w:val="0"/>
          <w:numId w:val="1033"/>
        </w:numPr>
      </w:pPr>
      <w:r>
        <w:t xml:space="preserve">notwendige Kundeninformation;</w:t>
      </w:r>
    </w:p>
    <w:p>
      <w:pPr>
        <w:pStyle w:val="Compact"/>
        <w:numPr>
          <w:ilvl w:val="0"/>
          <w:numId w:val="1033"/>
        </w:numPr>
      </w:pPr>
      <w:r>
        <w:t xml:space="preserve">Programmauslauf;</w:t>
      </w:r>
    </w:p>
    <w:p>
      <w:pPr>
        <w:pStyle w:val="Compact"/>
        <w:numPr>
          <w:ilvl w:val="0"/>
          <w:numId w:val="1033"/>
        </w:numPr>
      </w:pPr>
      <w:r>
        <w:t xml:space="preserve">Datenschutzanfragen.</w:t>
      </w:r>
    </w:p>
    <w:p>
      <w:r>
        <w:pict>
          <v:rect style="width:0;height:1.5pt" o:hralign="center" o:hrstd="t" o:hr="t"/>
        </w:pict>
      </w:r>
    </w:p>
    <w:bookmarkEnd w:id="96"/>
    <w:bookmarkEnd w:id="97"/>
    <w:bookmarkStart w:id="102" w:name="testphase"/>
    <w:p>
      <w:pPr>
        <w:pStyle w:val="Heading1"/>
      </w:pPr>
      <w:r>
        <w:t xml:space="preserve">20. Testphase</w:t>
      </w:r>
    </w:p>
    <w:bookmarkStart w:id="98" w:name="trial"/>
    <w:p>
      <w:pPr>
        <w:pStyle w:val="Heading2"/>
      </w:pPr>
      <w:r>
        <w:t xml:space="preserve">20.1 Trial</w:t>
      </w:r>
    </w:p>
    <w:p>
      <w:pPr>
        <w:pStyle w:val="FirstParagraph"/>
      </w:pPr>
      <w:r>
        <w:t xml:space="preserve">Soweit vereinbart, erhält der Kunde eine zeitlich begrenzte Testphase.</w:t>
      </w:r>
    </w:p>
    <w:p>
      <w:pPr>
        <w:pStyle w:val="BodyText"/>
      </w:pPr>
      <w:r>
        <w:t xml:space="preserve">Dauer:</w:t>
      </w:r>
    </w:p>
    <w:p>
      <w:pPr>
        <w:pStyle w:val="SourceCode"/>
      </w:pPr>
      <w:r>
        <w:rPr>
          <w:rStyle w:val="VerbatimChar"/>
        </w:rPr>
        <w:t xml:space="preserve">[TRIAL-DAUER]</w:t>
      </w:r>
    </w:p>
    <w:bookmarkEnd w:id="98"/>
    <w:bookmarkStart w:id="99" w:name="funktionsumfang"/>
    <w:p>
      <w:pPr>
        <w:pStyle w:val="Heading2"/>
      </w:pPr>
      <w:r>
        <w:t xml:space="preserve">20.2 Funktionsumfang</w:t>
      </w:r>
    </w:p>
    <w:p>
      <w:pPr>
        <w:pStyle w:val="FirstParagraph"/>
      </w:pPr>
      <w:r>
        <w:t xml:space="preserve">Testphasen können:</w:t>
      </w:r>
    </w:p>
    <w:p>
      <w:pPr>
        <w:pStyle w:val="Compact"/>
        <w:numPr>
          <w:ilvl w:val="0"/>
          <w:numId w:val="1034"/>
        </w:numPr>
      </w:pPr>
      <w:r>
        <w:t xml:space="preserve">funktional begrenzt;</w:t>
      </w:r>
    </w:p>
    <w:p>
      <w:pPr>
        <w:pStyle w:val="Compact"/>
        <w:numPr>
          <w:ilvl w:val="0"/>
          <w:numId w:val="1034"/>
        </w:numPr>
      </w:pPr>
      <w:r>
        <w:t xml:space="preserve">volumenbegrenzt;</w:t>
      </w:r>
    </w:p>
    <w:p>
      <w:pPr>
        <w:pStyle w:val="Compact"/>
        <w:numPr>
          <w:ilvl w:val="0"/>
          <w:numId w:val="1034"/>
        </w:numPr>
      </w:pPr>
      <w:r>
        <w:t xml:space="preserve">nur für Testdaten vorgesehen;</w:t>
      </w:r>
    </w:p>
    <w:p>
      <w:pPr>
        <w:pStyle w:val="Compact"/>
        <w:numPr>
          <w:ilvl w:val="0"/>
          <w:numId w:val="1034"/>
        </w:numPr>
      </w:pPr>
      <w:r>
        <w:t xml:space="preserve">ohne bestimmte Supportleistungen</w:t>
      </w:r>
    </w:p>
    <w:p>
      <w:pPr>
        <w:pStyle w:val="FirstParagraph"/>
      </w:pPr>
      <w:r>
        <w:t xml:space="preserve">sein.</w:t>
      </w:r>
    </w:p>
    <w:bookmarkEnd w:id="99"/>
    <w:bookmarkStart w:id="100" w:name="umwandlung"/>
    <w:p>
      <w:pPr>
        <w:pStyle w:val="Heading2"/>
      </w:pPr>
      <w:r>
        <w:t xml:space="preserve">20.3 Umwandlung</w:t>
      </w:r>
    </w:p>
    <w:p>
      <w:pPr>
        <w:pStyle w:val="FirstParagraph"/>
      </w:pPr>
      <w:r>
        <w:t xml:space="preserve">Eine automatische Umwandlung in einen kostenpflichtigen Tarif erfolgt nur, wenn dies vor Vertragsabschluss klar vereinbart wurde.</w:t>
      </w:r>
    </w:p>
    <w:bookmarkEnd w:id="100"/>
    <w:bookmarkStart w:id="101" w:name="testdaten"/>
    <w:p>
      <w:pPr>
        <w:pStyle w:val="Heading2"/>
      </w:pPr>
      <w:r>
        <w:t xml:space="preserve">20.4 Testdaten</w:t>
      </w:r>
    </w:p>
    <w:p>
      <w:pPr>
        <w:pStyle w:val="FirstParagraph"/>
      </w:pPr>
      <w:r>
        <w:t xml:space="preserve">Der Kunde darf während einer nicht produktiv freigegebenen Testphase keine echten personenbezogenen Gastdaten verarbeiten, sofern dies nicht ausdrücklich erlaubt und datenschutzrechtlich vorbereitet wurde.</w:t>
      </w:r>
    </w:p>
    <w:p>
      <w:r>
        <w:pict>
          <v:rect style="width:0;height:1.5pt" o:hralign="center" o:hrstd="t" o:hr="t"/>
        </w:pict>
      </w:r>
    </w:p>
    <w:bookmarkEnd w:id="101"/>
    <w:bookmarkEnd w:id="102"/>
    <w:bookmarkStart w:id="107" w:name="preisänderungen"/>
    <w:p>
      <w:pPr>
        <w:pStyle w:val="Heading1"/>
      </w:pPr>
      <w:r>
        <w:t xml:space="preserve">21. Preisänderungen</w:t>
      </w:r>
    </w:p>
    <w:bookmarkStart w:id="103" w:name="bestehende-vertragsperiode"/>
    <w:p>
      <w:pPr>
        <w:pStyle w:val="Heading2"/>
      </w:pPr>
      <w:r>
        <w:t xml:space="preserve">21.1 Bestehende Vertragsperiode</w:t>
      </w:r>
    </w:p>
    <w:p>
      <w:pPr>
        <w:pStyle w:val="FirstParagraph"/>
      </w:pPr>
      <w:r>
        <w:t xml:space="preserve">Preisänderungen wirken grundsätzlich nicht rückwirkend.</w:t>
      </w:r>
    </w:p>
    <w:bookmarkEnd w:id="103"/>
    <w:bookmarkStart w:id="104" w:name="laufende-verträge"/>
    <w:p>
      <w:pPr>
        <w:pStyle w:val="Heading2"/>
      </w:pPr>
      <w:r>
        <w:t xml:space="preserve">21.2 Laufende Verträge</w:t>
      </w:r>
    </w:p>
    <w:p>
      <w:pPr>
        <w:pStyle w:val="FirstParagraph"/>
      </w:pPr>
      <w:r>
        <w:t xml:space="preserve">WUXUAI kann Preise für zukünftige Vertragsperioden mit angemessener Vorankündigung ändern.</w:t>
      </w:r>
    </w:p>
    <w:p>
      <w:pPr>
        <w:pStyle w:val="BodyText"/>
      </w:pPr>
      <w:r>
        <w:t xml:space="preserve">Die konkrete Frist beträgt vorbehaltlich anwaltlicher Prüfung:</w:t>
      </w:r>
    </w:p>
    <w:p>
      <w:pPr>
        <w:pStyle w:val="SourceCode"/>
      </w:pPr>
      <w:r>
        <w:rPr>
          <w:rStyle w:val="VerbatimChar"/>
        </w:rPr>
        <w:t xml:space="preserve">mindestens 30 Tage</w:t>
      </w:r>
    </w:p>
    <w:bookmarkEnd w:id="104"/>
    <w:bookmarkStart w:id="105" w:name="sonderkündigungsrecht"/>
    <w:p>
      <w:pPr>
        <w:pStyle w:val="Heading2"/>
      </w:pPr>
      <w:r>
        <w:t xml:space="preserve">21.3 Sonderkündigungsrecht</w:t>
      </w:r>
    </w:p>
    <w:p>
      <w:pPr>
        <w:pStyle w:val="FirstParagraph"/>
      </w:pPr>
      <w:r>
        <w:t xml:space="preserve">Bei einer wesentlichen Preiserhöhung kann dem Kunden ein Sonderkündigungsrecht zum Zeitpunkt des Wirksamwerdens eingeräumt werden.</w:t>
      </w:r>
    </w:p>
    <w:bookmarkEnd w:id="105"/>
    <w:bookmarkStart w:id="106" w:name="indexierung"/>
    <w:p>
      <w:pPr>
        <w:pStyle w:val="Heading2"/>
      </w:pPr>
      <w:r>
        <w:t xml:space="preserve">21.4 Indexierung</w:t>
      </w:r>
    </w:p>
    <w:p>
      <w:pPr>
        <w:pStyle w:val="FirstParagraph"/>
      </w:pPr>
      <w:r>
        <w:t xml:space="preserve">Eine automatische Indexanpassung ist nur wirksam, wenn sie im Bestellformular oder Vertrag transparent vereinbart wird.</w:t>
      </w:r>
    </w:p>
    <w:p>
      <w:r>
        <w:pict>
          <v:rect style="width:0;height:1.5pt" o:hralign="center" o:hrstd="t" o:hr="t"/>
        </w:pict>
      </w:r>
    </w:p>
    <w:bookmarkEnd w:id="106"/>
    <w:bookmarkEnd w:id="107"/>
    <w:bookmarkStart w:id="112" w:name="laufzeit"/>
    <w:p>
      <w:pPr>
        <w:pStyle w:val="Heading1"/>
      </w:pPr>
      <w:r>
        <w:t xml:space="preserve">22. Laufzeit</w:t>
      </w:r>
    </w:p>
    <w:bookmarkStart w:id="108" w:name="vertragsbeginn"/>
    <w:p>
      <w:pPr>
        <w:pStyle w:val="Heading2"/>
      </w:pPr>
      <w:r>
        <w:t xml:space="preserve">22.1 Vertragsbeginn</w:t>
      </w:r>
    </w:p>
    <w:p>
      <w:pPr>
        <w:pStyle w:val="FirstParagraph"/>
      </w:pPr>
      <w:r>
        <w:t xml:space="preserve">Der Vertrag beginnt zu dem im Bestellformular angegebenen Datum.</w:t>
      </w:r>
    </w:p>
    <w:bookmarkEnd w:id="108"/>
    <w:bookmarkStart w:id="109" w:name="mindestlaufzeit"/>
    <w:p>
      <w:pPr>
        <w:pStyle w:val="Heading2"/>
      </w:pPr>
      <w:r>
        <w:t xml:space="preserve">22.2 Mindestlaufzeit</w:t>
      </w:r>
    </w:p>
    <w:p>
      <w:pPr>
        <w:pStyle w:val="FirstParagraph"/>
      </w:pPr>
      <w:r>
        <w:t xml:space="preserve">Die Mindestlaufzeit ergibt sich aus dem gewählten Tarif oder Angebot.</w:t>
      </w:r>
    </w:p>
    <w:bookmarkEnd w:id="109"/>
    <w:bookmarkStart w:id="110" w:name="verlängerung"/>
    <w:p>
      <w:pPr>
        <w:pStyle w:val="Heading2"/>
      </w:pPr>
      <w:r>
        <w:t xml:space="preserve">22.3 Verlängerung</w:t>
      </w:r>
    </w:p>
    <w:p>
      <w:pPr>
        <w:pStyle w:val="FirstParagraph"/>
      </w:pPr>
      <w:r>
        <w:t xml:space="preserve">Eine automatische Verlängerung findet nur statt, wenn dies transparent vereinbart wurde.</w:t>
      </w:r>
    </w:p>
    <w:bookmarkEnd w:id="110"/>
    <w:bookmarkStart w:id="111" w:name="unbefristeter-vertrag"/>
    <w:p>
      <w:pPr>
        <w:pStyle w:val="Heading2"/>
      </w:pPr>
      <w:r>
        <w:t xml:space="preserve">22.4 Unbefristeter Vertrag</w:t>
      </w:r>
    </w:p>
    <w:p>
      <w:pPr>
        <w:pStyle w:val="FirstParagraph"/>
      </w:pPr>
      <w:r>
        <w:t xml:space="preserve">Ist keine feste Laufzeit vereinbart, läuft der Vertrag auf unbestimmte Zeit.</w:t>
      </w:r>
    </w:p>
    <w:p>
      <w:r>
        <w:pict>
          <v:rect style="width:0;height:1.5pt" o:hralign="center" o:hrstd="t" o:hr="t"/>
        </w:pict>
      </w:r>
    </w:p>
    <w:bookmarkEnd w:id="111"/>
    <w:bookmarkEnd w:id="112"/>
    <w:bookmarkStart w:id="116" w:name="ordentliche-kündigung"/>
    <w:p>
      <w:pPr>
        <w:pStyle w:val="Heading1"/>
      </w:pPr>
      <w:r>
        <w:t xml:space="preserve">23. Ordentliche Kündigung</w:t>
      </w:r>
    </w:p>
    <w:bookmarkStart w:id="113" w:name="kündigungsfrist"/>
    <w:p>
      <w:pPr>
        <w:pStyle w:val="Heading2"/>
      </w:pPr>
      <w:r>
        <w:t xml:space="preserve">23.1 Kündigungsfrist</w:t>
      </w:r>
    </w:p>
    <w:p>
      <w:pPr>
        <w:pStyle w:val="FirstParagraph"/>
      </w:pPr>
      <w:r>
        <w:t xml:space="preserve">Die Kündigungsfrist ergibt sich aus dem Bestellformular.</w:t>
      </w:r>
    </w:p>
    <w:p>
      <w:pPr>
        <w:pStyle w:val="BodyText"/>
      </w:pPr>
      <w:r>
        <w:t xml:space="preserve">Fehlt eine besondere Vereinbarung, gilt vorbehaltlich anwaltlicher Prüfung:</w:t>
      </w:r>
    </w:p>
    <w:p>
      <w:pPr>
        <w:pStyle w:val="SourceCode"/>
      </w:pPr>
      <w:r>
        <w:rPr>
          <w:rStyle w:val="VerbatimChar"/>
        </w:rPr>
        <w:t xml:space="preserve">ein Monat zum Ende der jeweiligen Abrechnungsperiode</w:t>
      </w:r>
    </w:p>
    <w:bookmarkEnd w:id="113"/>
    <w:bookmarkStart w:id="114" w:name="form"/>
    <w:p>
      <w:pPr>
        <w:pStyle w:val="Heading2"/>
      </w:pPr>
      <w:r>
        <w:t xml:space="preserve">23.2 Form</w:t>
      </w:r>
    </w:p>
    <w:p>
      <w:pPr>
        <w:pStyle w:val="FirstParagraph"/>
      </w:pPr>
      <w:r>
        <w:t xml:space="preserve">Die Kündigung kann über:</w:t>
      </w:r>
    </w:p>
    <w:p>
      <w:pPr>
        <w:pStyle w:val="Compact"/>
        <w:numPr>
          <w:ilvl w:val="0"/>
          <w:numId w:val="1035"/>
        </w:numPr>
      </w:pPr>
      <w:r>
        <w:t xml:space="preserve">Vertragsbereich;</w:t>
      </w:r>
    </w:p>
    <w:p>
      <w:pPr>
        <w:pStyle w:val="Compact"/>
        <w:numPr>
          <w:ilvl w:val="0"/>
          <w:numId w:val="1035"/>
        </w:numPr>
      </w:pPr>
      <w:r>
        <w:t xml:space="preserve">E-Mail an [VERTRAGS-EMAIL];</w:t>
      </w:r>
    </w:p>
    <w:p>
      <w:pPr>
        <w:pStyle w:val="Compact"/>
        <w:numPr>
          <w:ilvl w:val="0"/>
          <w:numId w:val="1035"/>
        </w:numPr>
      </w:pPr>
      <w:r>
        <w:t xml:space="preserve">sonstige vereinbarte Textform</w:t>
      </w:r>
    </w:p>
    <w:p>
      <w:pPr>
        <w:pStyle w:val="FirstParagraph"/>
      </w:pPr>
      <w:r>
        <w:t xml:space="preserve">erfolgen.</w:t>
      </w:r>
    </w:p>
    <w:bookmarkEnd w:id="114"/>
    <w:bookmarkStart w:id="115" w:name="bestätigung"/>
    <w:p>
      <w:pPr>
        <w:pStyle w:val="Heading2"/>
      </w:pPr>
      <w:r>
        <w:t xml:space="preserve">23.3 Bestätigung</w:t>
      </w:r>
    </w:p>
    <w:p>
      <w:pPr>
        <w:pStyle w:val="FirstParagraph"/>
      </w:pPr>
      <w:r>
        <w:t xml:space="preserve">WUXUAI bestätigt den Eingang und das berechnete Vertragsende.</w:t>
      </w:r>
    </w:p>
    <w:p>
      <w:r>
        <w:pict>
          <v:rect style="width:0;height:1.5pt" o:hralign="center" o:hrstd="t" o:hr="t"/>
        </w:pict>
      </w:r>
    </w:p>
    <w:bookmarkEnd w:id="115"/>
    <w:bookmarkEnd w:id="116"/>
    <w:bookmarkStart w:id="117" w:name="außerordentliche-kündigung"/>
    <w:p>
      <w:pPr>
        <w:pStyle w:val="Heading1"/>
      </w:pPr>
      <w:r>
        <w:t xml:space="preserve">24. Außerordentliche Kündigung</w:t>
      </w:r>
    </w:p>
    <w:p>
      <w:pPr>
        <w:pStyle w:val="FirstParagraph"/>
      </w:pPr>
      <w:r>
        <w:t xml:space="preserve">Jede Partei kann den Vertrag aus wichtigem Grund mit sofortiger Wirkung kündigen.</w:t>
      </w:r>
    </w:p>
    <w:p>
      <w:pPr>
        <w:pStyle w:val="BodyText"/>
      </w:pPr>
      <w:r>
        <w:t xml:space="preserve">Ein wichtiger Grund liegt insbesondere vor, wenn:</w:t>
      </w:r>
    </w:p>
    <w:p>
      <w:pPr>
        <w:pStyle w:val="Compact"/>
        <w:numPr>
          <w:ilvl w:val="0"/>
          <w:numId w:val="1036"/>
        </w:numPr>
      </w:pPr>
      <w:r>
        <w:t xml:space="preserve">eine wesentliche Vertragsverletzung trotz angemessener Nachfrist nicht behoben wird;</w:t>
      </w:r>
    </w:p>
    <w:p>
      <w:pPr>
        <w:pStyle w:val="Compact"/>
        <w:numPr>
          <w:ilvl w:val="0"/>
          <w:numId w:val="1036"/>
        </w:numPr>
      </w:pPr>
      <w:r>
        <w:t xml:space="preserve">die Plattform rechtswidrig genutzt wird;</w:t>
      </w:r>
    </w:p>
    <w:p>
      <w:pPr>
        <w:pStyle w:val="Compact"/>
        <w:numPr>
          <w:ilvl w:val="0"/>
          <w:numId w:val="1036"/>
        </w:numPr>
      </w:pPr>
      <w:r>
        <w:t xml:space="preserve">erhebliche Sicherheitsrisiken verursacht werden;</w:t>
      </w:r>
    </w:p>
    <w:p>
      <w:pPr>
        <w:pStyle w:val="Compact"/>
        <w:numPr>
          <w:ilvl w:val="0"/>
          <w:numId w:val="1036"/>
        </w:numPr>
      </w:pPr>
      <w:r>
        <w:t xml:space="preserve">wiederholter schwerer Zahlungsverzug besteht;</w:t>
      </w:r>
    </w:p>
    <w:p>
      <w:pPr>
        <w:pStyle w:val="Compact"/>
        <w:numPr>
          <w:ilvl w:val="0"/>
          <w:numId w:val="1036"/>
        </w:numPr>
      </w:pPr>
      <w:r>
        <w:t xml:space="preserve">über eine Partei ein Insolvenzverfahren eröffnet oder mangels Masse abgewiesen wird, soweit eine Kündigung gesetzlich zulässig ist;</w:t>
      </w:r>
    </w:p>
    <w:p>
      <w:pPr>
        <w:pStyle w:val="Compact"/>
        <w:numPr>
          <w:ilvl w:val="0"/>
          <w:numId w:val="1036"/>
        </w:numPr>
      </w:pPr>
      <w:r>
        <w:t xml:space="preserve">eine erforderliche Berechtigung dauerhaft entfällt;</w:t>
      </w:r>
    </w:p>
    <w:p>
      <w:pPr>
        <w:pStyle w:val="Compact"/>
        <w:numPr>
          <w:ilvl w:val="0"/>
          <w:numId w:val="1036"/>
        </w:numPr>
      </w:pPr>
      <w:r>
        <w:t xml:space="preserve">eine Fortsetzung objektiv unzumutbar ist.</w:t>
      </w:r>
    </w:p>
    <w:p>
      <w:pPr>
        <w:pStyle w:val="FirstParagraph"/>
      </w:pPr>
      <w:r>
        <w:t xml:space="preserve">Soweit möglich, ist vor Kündigung eine angemessene Nachfrist oder Warnung zu setzen.</w:t>
      </w:r>
    </w:p>
    <w:p>
      <w:r>
        <w:pict>
          <v:rect style="width:0;height:1.5pt" o:hralign="center" o:hrstd="t" o:hr="t"/>
        </w:pict>
      </w:r>
    </w:p>
    <w:bookmarkEnd w:id="117"/>
    <w:bookmarkStart w:id="121" w:name="sperrung"/>
    <w:p>
      <w:pPr>
        <w:pStyle w:val="Heading1"/>
      </w:pPr>
      <w:r>
        <w:t xml:space="preserve">25. Sperrung</w:t>
      </w:r>
    </w:p>
    <w:bookmarkStart w:id="118" w:name="gründe"/>
    <w:p>
      <w:pPr>
        <w:pStyle w:val="Heading2"/>
      </w:pPr>
      <w:r>
        <w:t xml:space="preserve">25.1 Gründe</w:t>
      </w:r>
    </w:p>
    <w:p>
      <w:pPr>
        <w:pStyle w:val="FirstParagraph"/>
      </w:pPr>
      <w:r>
        <w:t xml:space="preserve">WUXUAI darf den Zugang vorübergehend sperren, wenn:</w:t>
      </w:r>
    </w:p>
    <w:p>
      <w:pPr>
        <w:pStyle w:val="Compact"/>
        <w:numPr>
          <w:ilvl w:val="0"/>
          <w:numId w:val="1037"/>
        </w:numPr>
      </w:pPr>
      <w:r>
        <w:t xml:space="preserve">ein Sicherheitsvorfall besteht;</w:t>
      </w:r>
    </w:p>
    <w:p>
      <w:pPr>
        <w:pStyle w:val="Compact"/>
        <w:numPr>
          <w:ilvl w:val="0"/>
          <w:numId w:val="1037"/>
        </w:numPr>
      </w:pPr>
      <w:r>
        <w:t xml:space="preserve">Missbrauch vermutet wird;</w:t>
      </w:r>
    </w:p>
    <w:p>
      <w:pPr>
        <w:pStyle w:val="Compact"/>
        <w:numPr>
          <w:ilvl w:val="0"/>
          <w:numId w:val="1037"/>
        </w:numPr>
      </w:pPr>
      <w:r>
        <w:t xml:space="preserve">eine gesetzliche Verpflichtung besteht;</w:t>
      </w:r>
    </w:p>
    <w:p>
      <w:pPr>
        <w:pStyle w:val="Compact"/>
        <w:numPr>
          <w:ilvl w:val="0"/>
          <w:numId w:val="1037"/>
        </w:numPr>
      </w:pPr>
      <w:r>
        <w:t xml:space="preserve">ein erheblicher Zahlungsverzug vorliegt;</w:t>
      </w:r>
    </w:p>
    <w:p>
      <w:pPr>
        <w:pStyle w:val="Compact"/>
        <w:numPr>
          <w:ilvl w:val="0"/>
          <w:numId w:val="1037"/>
        </w:numPr>
      </w:pPr>
      <w:r>
        <w:t xml:space="preserve">der Kunde die Plattform rechtswidrig nutzt;</w:t>
      </w:r>
    </w:p>
    <w:p>
      <w:pPr>
        <w:pStyle w:val="Compact"/>
        <w:numPr>
          <w:ilvl w:val="0"/>
          <w:numId w:val="1037"/>
        </w:numPr>
      </w:pPr>
      <w:r>
        <w:t xml:space="preserve">Gefahr für andere Kunden oder das System besteht.</w:t>
      </w:r>
    </w:p>
    <w:bookmarkEnd w:id="118"/>
    <w:bookmarkStart w:id="119" w:name="verhältnismäßigkeit"/>
    <w:p>
      <w:pPr>
        <w:pStyle w:val="Heading2"/>
      </w:pPr>
      <w:r>
        <w:t xml:space="preserve">25.2 Verhältnismäßigkeit</w:t>
      </w:r>
    </w:p>
    <w:p>
      <w:pPr>
        <w:pStyle w:val="FirstParagraph"/>
      </w:pPr>
      <w:r>
        <w:t xml:space="preserve">Die Sperrung wird auf den notwendigen Umfang und Zeitraum begrenzt.</w:t>
      </w:r>
    </w:p>
    <w:bookmarkEnd w:id="119"/>
    <w:bookmarkStart w:id="120" w:name="information"/>
    <w:p>
      <w:pPr>
        <w:pStyle w:val="Heading2"/>
      </w:pPr>
      <w:r>
        <w:t xml:space="preserve">25.3 Information</w:t>
      </w:r>
    </w:p>
    <w:p>
      <w:pPr>
        <w:pStyle w:val="FirstParagraph"/>
      </w:pPr>
      <w:r>
        <w:t xml:space="preserve">Der Kunde wird über Grund und Umfang informiert, soweit keine gesetzlichen oder sicherheitsbezogenen Gründe entgegenstehen.</w:t>
      </w:r>
    </w:p>
    <w:p>
      <w:r>
        <w:pict>
          <v:rect style="width:0;height:1.5pt" o:hralign="center" o:hrstd="t" o:hr="t"/>
        </w:pict>
      </w:r>
    </w:p>
    <w:bookmarkEnd w:id="120"/>
    <w:bookmarkEnd w:id="121"/>
    <w:bookmarkStart w:id="127" w:name="vertragsende-und-datenrückgabe"/>
    <w:p>
      <w:pPr>
        <w:pStyle w:val="Heading1"/>
      </w:pPr>
      <w:r>
        <w:t xml:space="preserve">26. Vertragsende und Datenrückgabe</w:t>
      </w:r>
    </w:p>
    <w:bookmarkStart w:id="122" w:name="read-only-phase"/>
    <w:p>
      <w:pPr>
        <w:pStyle w:val="Heading2"/>
      </w:pPr>
      <w:r>
        <w:t xml:space="preserve">26.1 Read-only-Phase</w:t>
      </w:r>
    </w:p>
    <w:p>
      <w:pPr>
        <w:pStyle w:val="FirstParagraph"/>
      </w:pPr>
      <w:r>
        <w:t xml:space="preserve">WUXUAI kann nach Vertragsende eine zeitlich begrenzte Read-only- oder Exportphase bereitstellen.</w:t>
      </w:r>
    </w:p>
    <w:p>
      <w:pPr>
        <w:pStyle w:val="BodyText"/>
      </w:pPr>
      <w:r>
        <w:t xml:space="preserve">Vorgesehene Dauer:</w:t>
      </w:r>
    </w:p>
    <w:p>
      <w:pPr>
        <w:pStyle w:val="SourceCode"/>
      </w:pPr>
      <w:r>
        <w:rPr>
          <w:rStyle w:val="VerbatimChar"/>
        </w:rPr>
        <w:t xml:space="preserve">30 Tage</w:t>
      </w:r>
    </w:p>
    <w:p>
      <w:pPr>
        <w:pStyle w:val="FirstParagraph"/>
      </w:pPr>
      <w:r>
        <w:t xml:space="preserve">Die endgültige Dauer wird im Vertrag festgelegt.</w:t>
      </w:r>
    </w:p>
    <w:bookmarkEnd w:id="122"/>
    <w:bookmarkStart w:id="123" w:name="export"/>
    <w:p>
      <w:pPr>
        <w:pStyle w:val="Heading2"/>
      </w:pPr>
      <w:r>
        <w:t xml:space="preserve">26.2 Export</w:t>
      </w:r>
    </w:p>
    <w:p>
      <w:pPr>
        <w:pStyle w:val="FirstParagraph"/>
      </w:pPr>
      <w:r>
        <w:t xml:space="preserve">Der Kunde kann innerhalb der vereinbarten Frist einen Export seiner Kundendaten im technisch verfügbaren Format anfordern.</w:t>
      </w:r>
    </w:p>
    <w:bookmarkEnd w:id="123"/>
    <w:bookmarkStart w:id="124" w:name="gastdaten"/>
    <w:p>
      <w:pPr>
        <w:pStyle w:val="Heading2"/>
      </w:pPr>
      <w:r>
        <w:t xml:space="preserve">26.3 Gastdaten</w:t>
      </w:r>
    </w:p>
    <w:p>
      <w:pPr>
        <w:pStyle w:val="FirstParagraph"/>
      </w:pPr>
      <w:r>
        <w:t xml:space="preserve">Gastdaten werden nach Vertragsende nach Maßgabe:</w:t>
      </w:r>
    </w:p>
    <w:p>
      <w:pPr>
        <w:pStyle w:val="Compact"/>
        <w:numPr>
          <w:ilvl w:val="0"/>
          <w:numId w:val="1038"/>
        </w:numPr>
      </w:pPr>
      <w:r>
        <w:t xml:space="preserve">der dokumentierten Weisung;</w:t>
      </w:r>
    </w:p>
    <w:p>
      <w:pPr>
        <w:pStyle w:val="Compact"/>
        <w:numPr>
          <w:ilvl w:val="0"/>
          <w:numId w:val="1038"/>
        </w:numPr>
      </w:pPr>
      <w:r>
        <w:t xml:space="preserve">des Auftragsverarbeitungsvertrags;</w:t>
      </w:r>
    </w:p>
    <w:p>
      <w:pPr>
        <w:pStyle w:val="Compact"/>
        <w:numPr>
          <w:ilvl w:val="0"/>
          <w:numId w:val="1038"/>
        </w:numPr>
      </w:pPr>
      <w:r>
        <w:t xml:space="preserve">gesetzlicher Aufbewahrungspflichten;</w:t>
      </w:r>
    </w:p>
    <w:p>
      <w:pPr>
        <w:pStyle w:val="Compact"/>
        <w:numPr>
          <w:ilvl w:val="0"/>
          <w:numId w:val="1038"/>
        </w:numPr>
      </w:pPr>
      <w:r>
        <w:t xml:space="preserve">offener Datenschutzanfragen;</w:t>
      </w:r>
    </w:p>
    <w:p>
      <w:pPr>
        <w:pStyle w:val="Compact"/>
        <w:numPr>
          <w:ilvl w:val="0"/>
          <w:numId w:val="1038"/>
        </w:numPr>
      </w:pPr>
      <w:r>
        <w:t xml:space="preserve">zulässiger Rechtsverteidigung</w:t>
      </w:r>
    </w:p>
    <w:p>
      <w:pPr>
        <w:pStyle w:val="FirstParagraph"/>
      </w:pPr>
      <w:r>
        <w:t xml:space="preserve">zurückgegeben, gelöscht, anonymisiert oder eingeschränkt gespeichert.</w:t>
      </w:r>
    </w:p>
    <w:bookmarkEnd w:id="124"/>
    <w:bookmarkStart w:id="125" w:name="kein-eigentum-an-software"/>
    <w:p>
      <w:pPr>
        <w:pStyle w:val="Heading2"/>
      </w:pPr>
      <w:r>
        <w:t xml:space="preserve">26.4 Kein Eigentum an Software</w:t>
      </w:r>
    </w:p>
    <w:p>
      <w:pPr>
        <w:pStyle w:val="FirstParagraph"/>
      </w:pPr>
      <w:r>
        <w:t xml:space="preserve">Ein Datenexport umfasst keine:</w:t>
      </w:r>
    </w:p>
    <w:p>
      <w:pPr>
        <w:pStyle w:val="Compact"/>
        <w:numPr>
          <w:ilvl w:val="0"/>
          <w:numId w:val="1039"/>
        </w:numPr>
      </w:pPr>
      <w:r>
        <w:t xml:space="preserve">Software;</w:t>
      </w:r>
    </w:p>
    <w:p>
      <w:pPr>
        <w:pStyle w:val="Compact"/>
        <w:numPr>
          <w:ilvl w:val="0"/>
          <w:numId w:val="1039"/>
        </w:numPr>
      </w:pPr>
      <w:r>
        <w:t xml:space="preserve">Quellcodes;</w:t>
      </w:r>
    </w:p>
    <w:p>
      <w:pPr>
        <w:pStyle w:val="Compact"/>
        <w:numPr>
          <w:ilvl w:val="0"/>
          <w:numId w:val="1039"/>
        </w:numPr>
      </w:pPr>
      <w:r>
        <w:t xml:space="preserve">Systemarchitektur;</w:t>
      </w:r>
    </w:p>
    <w:p>
      <w:pPr>
        <w:pStyle w:val="Compact"/>
        <w:numPr>
          <w:ilvl w:val="0"/>
          <w:numId w:val="1039"/>
        </w:numPr>
      </w:pPr>
      <w:r>
        <w:t xml:space="preserve">internen Sicherheitsregeln;</w:t>
      </w:r>
    </w:p>
    <w:p>
      <w:pPr>
        <w:pStyle w:val="Compact"/>
        <w:numPr>
          <w:ilvl w:val="0"/>
          <w:numId w:val="1039"/>
        </w:numPr>
      </w:pPr>
      <w:r>
        <w:t xml:space="preserve">Daten anderer Kunden.</w:t>
      </w:r>
    </w:p>
    <w:bookmarkEnd w:id="125"/>
    <w:bookmarkStart w:id="126" w:name="programmbeendigung"/>
    <w:p>
      <w:pPr>
        <w:pStyle w:val="Heading2"/>
      </w:pPr>
      <w:r>
        <w:t xml:space="preserve">26.5 Programmbeendigung</w:t>
      </w:r>
    </w:p>
    <w:p>
      <w:pPr>
        <w:pStyle w:val="FirstParagraph"/>
      </w:pPr>
      <w:r>
        <w:t xml:space="preserve">Der Kunde muss vor dem technischen Ende seines Zugangs einen geordneten Prozess für sein Bonusprogramm durchführen.</w:t>
      </w:r>
    </w:p>
    <w:p>
      <w:pPr>
        <w:pStyle w:val="BodyText"/>
      </w:pPr>
      <w:r>
        <w:t xml:space="preserve">Dazu gehören insbesondere:</w:t>
      </w:r>
    </w:p>
    <w:p>
      <w:pPr>
        <w:pStyle w:val="Compact"/>
        <w:numPr>
          <w:ilvl w:val="0"/>
          <w:numId w:val="1040"/>
        </w:numPr>
      </w:pPr>
      <w:r>
        <w:t xml:space="preserve">Kundeninformation;</w:t>
      </w:r>
    </w:p>
    <w:p>
      <w:pPr>
        <w:pStyle w:val="Compact"/>
        <w:numPr>
          <w:ilvl w:val="0"/>
          <w:numId w:val="1040"/>
        </w:numPr>
      </w:pPr>
      <w:r>
        <w:t xml:space="preserve">letzter Sammeltag;</w:t>
      </w:r>
    </w:p>
    <w:p>
      <w:pPr>
        <w:pStyle w:val="Compact"/>
        <w:numPr>
          <w:ilvl w:val="0"/>
          <w:numId w:val="1040"/>
        </w:numPr>
      </w:pPr>
      <w:r>
        <w:t xml:space="preserve">letzter Einlösetag;</w:t>
      </w:r>
    </w:p>
    <w:p>
      <w:pPr>
        <w:pStyle w:val="Compact"/>
        <w:numPr>
          <w:ilvl w:val="0"/>
          <w:numId w:val="1040"/>
        </w:numPr>
      </w:pPr>
      <w:r>
        <w:t xml:space="preserve">Umgang mit offenen Rewards;</w:t>
      </w:r>
    </w:p>
    <w:p>
      <w:pPr>
        <w:pStyle w:val="Compact"/>
        <w:numPr>
          <w:ilvl w:val="0"/>
          <w:numId w:val="1040"/>
        </w:numPr>
      </w:pPr>
      <w:r>
        <w:t xml:space="preserve">Datenschutzinformation.</w:t>
      </w:r>
    </w:p>
    <w:p>
      <w:r>
        <w:pict>
          <v:rect style="width:0;height:1.5pt" o:hralign="center" o:hrstd="t" o:hr="t"/>
        </w:pict>
      </w:r>
    </w:p>
    <w:bookmarkEnd w:id="126"/>
    <w:bookmarkEnd w:id="127"/>
    <w:bookmarkStart w:id="133" w:name="gewährleistung"/>
    <w:p>
      <w:pPr>
        <w:pStyle w:val="Heading1"/>
      </w:pPr>
      <w:r>
        <w:t xml:space="preserve">27. Gewährleistung</w:t>
      </w:r>
    </w:p>
    <w:bookmarkStart w:id="128" w:name="vertragsgemäße-leistung"/>
    <w:p>
      <w:pPr>
        <w:pStyle w:val="Heading2"/>
      </w:pPr>
      <w:r>
        <w:t xml:space="preserve">27.1 Vertragsgemäße Leistung</w:t>
      </w:r>
    </w:p>
    <w:p>
      <w:pPr>
        <w:pStyle w:val="FirstParagraph"/>
      </w:pPr>
      <w:r>
        <w:t xml:space="preserve">WUXUAI gewährleistet, dass die Plattform im Wesentlichen dem vertraglich vereinbarten Funktionsumfang entspricht.</w:t>
      </w:r>
    </w:p>
    <w:bookmarkEnd w:id="128"/>
    <w:bookmarkStart w:id="129" w:name="mängelmeldung"/>
    <w:p>
      <w:pPr>
        <w:pStyle w:val="Heading2"/>
      </w:pPr>
      <w:r>
        <w:t xml:space="preserve">27.2 Mängelmeldung</w:t>
      </w:r>
    </w:p>
    <w:p>
      <w:pPr>
        <w:pStyle w:val="FirstParagraph"/>
      </w:pPr>
      <w:r>
        <w:t xml:space="preserve">Der Kunde hat erkennbare Mängel unverzüglich nachvollziehbar zu melden und dabei, soweit möglich, anzugeben:</w:t>
      </w:r>
    </w:p>
    <w:p>
      <w:pPr>
        <w:pStyle w:val="Compact"/>
        <w:numPr>
          <w:ilvl w:val="0"/>
          <w:numId w:val="1041"/>
        </w:numPr>
      </w:pPr>
      <w:r>
        <w:t xml:space="preserve">betroffene Funktion;</w:t>
      </w:r>
    </w:p>
    <w:p>
      <w:pPr>
        <w:pStyle w:val="Compact"/>
        <w:numPr>
          <w:ilvl w:val="0"/>
          <w:numId w:val="1041"/>
        </w:numPr>
      </w:pPr>
      <w:r>
        <w:t xml:space="preserve">Zeitpunkt;</w:t>
      </w:r>
    </w:p>
    <w:p>
      <w:pPr>
        <w:pStyle w:val="Compact"/>
        <w:numPr>
          <w:ilvl w:val="0"/>
          <w:numId w:val="1041"/>
        </w:numPr>
      </w:pPr>
      <w:r>
        <w:t xml:space="preserve">Nutzerrolle;</w:t>
      </w:r>
    </w:p>
    <w:p>
      <w:pPr>
        <w:pStyle w:val="Compact"/>
        <w:numPr>
          <w:ilvl w:val="0"/>
          <w:numId w:val="1041"/>
        </w:numPr>
      </w:pPr>
      <w:r>
        <w:t xml:space="preserve">Fehlermeldung;</w:t>
      </w:r>
    </w:p>
    <w:p>
      <w:pPr>
        <w:pStyle w:val="Compact"/>
        <w:numPr>
          <w:ilvl w:val="0"/>
          <w:numId w:val="1041"/>
        </w:numPr>
      </w:pPr>
      <w:r>
        <w:t xml:space="preserve">Reproduktionsschritte;</w:t>
      </w:r>
    </w:p>
    <w:p>
      <w:pPr>
        <w:pStyle w:val="Compact"/>
        <w:numPr>
          <w:ilvl w:val="0"/>
          <w:numId w:val="1041"/>
        </w:numPr>
      </w:pPr>
      <w:r>
        <w:t xml:space="preserve">Screenshots ohne unnötige personenbezogene Daten.</w:t>
      </w:r>
    </w:p>
    <w:bookmarkEnd w:id="129"/>
    <w:bookmarkStart w:id="130" w:name="verbesserung"/>
    <w:p>
      <w:pPr>
        <w:pStyle w:val="Heading2"/>
      </w:pPr>
      <w:r>
        <w:t xml:space="preserve">27.3 Verbesserung</w:t>
      </w:r>
    </w:p>
    <w:p>
      <w:pPr>
        <w:pStyle w:val="FirstParagraph"/>
      </w:pPr>
      <w:r>
        <w:t xml:space="preserve">WUXUAI erhält zunächst Gelegenheit zur Verbesserung oder Bereitstellung einer zumutbaren Ersatzlösung.</w:t>
      </w:r>
    </w:p>
    <w:bookmarkEnd w:id="130"/>
    <w:bookmarkStart w:id="131" w:name="kein-mangel"/>
    <w:p>
      <w:pPr>
        <w:pStyle w:val="Heading2"/>
      </w:pPr>
      <w:r>
        <w:t xml:space="preserve">27.4 Kein Mangel</w:t>
      </w:r>
    </w:p>
    <w:p>
      <w:pPr>
        <w:pStyle w:val="FirstParagraph"/>
      </w:pPr>
      <w:r>
        <w:t xml:space="preserve">Kein von WUXUAI zu vertretender Mangel liegt insbesondere vor bei:</w:t>
      </w:r>
    </w:p>
    <w:p>
      <w:pPr>
        <w:pStyle w:val="Compact"/>
        <w:numPr>
          <w:ilvl w:val="0"/>
          <w:numId w:val="1042"/>
        </w:numPr>
      </w:pPr>
      <w:r>
        <w:t xml:space="preserve">falscher Bedienung;</w:t>
      </w:r>
    </w:p>
    <w:p>
      <w:pPr>
        <w:pStyle w:val="Compact"/>
        <w:numPr>
          <w:ilvl w:val="0"/>
          <w:numId w:val="1042"/>
        </w:numPr>
      </w:pPr>
      <w:r>
        <w:t xml:space="preserve">ungeeigneter Kundentechnik;</w:t>
      </w:r>
    </w:p>
    <w:p>
      <w:pPr>
        <w:pStyle w:val="Compact"/>
        <w:numPr>
          <w:ilvl w:val="0"/>
          <w:numId w:val="1042"/>
        </w:numPr>
      </w:pPr>
      <w:r>
        <w:t xml:space="preserve">nicht unterstützten Browsern;</w:t>
      </w:r>
    </w:p>
    <w:p>
      <w:pPr>
        <w:pStyle w:val="Compact"/>
        <w:numPr>
          <w:ilvl w:val="0"/>
          <w:numId w:val="1042"/>
        </w:numPr>
      </w:pPr>
      <w:r>
        <w:t xml:space="preserve">Eingriffen des Kunden;</w:t>
      </w:r>
    </w:p>
    <w:p>
      <w:pPr>
        <w:pStyle w:val="Compact"/>
        <w:numPr>
          <w:ilvl w:val="0"/>
          <w:numId w:val="1042"/>
        </w:numPr>
      </w:pPr>
      <w:r>
        <w:t xml:space="preserve">fremden Integrationen;</w:t>
      </w:r>
    </w:p>
    <w:p>
      <w:pPr>
        <w:pStyle w:val="Compact"/>
        <w:numPr>
          <w:ilvl w:val="0"/>
          <w:numId w:val="1042"/>
        </w:numPr>
      </w:pPr>
      <w:r>
        <w:t xml:space="preserve">Internetstörungen;</w:t>
      </w:r>
    </w:p>
    <w:p>
      <w:pPr>
        <w:pStyle w:val="Compact"/>
        <w:numPr>
          <w:ilvl w:val="0"/>
          <w:numId w:val="1042"/>
        </w:numPr>
      </w:pPr>
      <w:r>
        <w:t xml:space="preserve">vereinbarter Wartung;</w:t>
      </w:r>
    </w:p>
    <w:p>
      <w:pPr>
        <w:pStyle w:val="Compact"/>
        <w:numPr>
          <w:ilvl w:val="0"/>
          <w:numId w:val="1042"/>
        </w:numPr>
      </w:pPr>
      <w:r>
        <w:t xml:space="preserve">Beta-Funktionen;</w:t>
      </w:r>
    </w:p>
    <w:p>
      <w:pPr>
        <w:pStyle w:val="Compact"/>
        <w:numPr>
          <w:ilvl w:val="0"/>
          <w:numId w:val="1042"/>
        </w:numPr>
      </w:pPr>
      <w:r>
        <w:t xml:space="preserve">unrichtigen Restaurantdaten.</w:t>
      </w:r>
    </w:p>
    <w:bookmarkEnd w:id="131"/>
    <w:bookmarkStart w:id="132" w:name="zwingendes-recht"/>
    <w:p>
      <w:pPr>
        <w:pStyle w:val="Heading2"/>
      </w:pPr>
      <w:r>
        <w:t xml:space="preserve">27.5 Zwingendes Recht</w:t>
      </w:r>
    </w:p>
    <w:p>
      <w:pPr>
        <w:pStyle w:val="FirstParagraph"/>
      </w:pPr>
      <w:r>
        <w:t xml:space="preserve">Zwingende gesetzliche Gewährleistungsrechte bleiben unberührt.</w:t>
      </w:r>
    </w:p>
    <w:p>
      <w:pPr>
        <w:pStyle w:val="BodyText"/>
      </w:pPr>
      <w:r>
        <w:t xml:space="preserve">Die konkrete B2B-Ausgestaltung ist anwaltlich zu prüfen.</w:t>
      </w:r>
    </w:p>
    <w:p>
      <w:r>
        <w:pict>
          <v:rect style="width:0;height:1.5pt" o:hralign="center" o:hrstd="t" o:hr="t"/>
        </w:pict>
      </w:r>
    </w:p>
    <w:bookmarkEnd w:id="132"/>
    <w:bookmarkEnd w:id="133"/>
    <w:bookmarkStart w:id="141" w:name="haftung"/>
    <w:p>
      <w:pPr>
        <w:pStyle w:val="Heading1"/>
      </w:pPr>
      <w:r>
        <w:t xml:space="preserve">28. Haftung</w:t>
      </w:r>
    </w:p>
    <w:bookmarkStart w:id="134" w:name="unbeschränkte-haftung"/>
    <w:p>
      <w:pPr>
        <w:pStyle w:val="Heading2"/>
      </w:pPr>
      <w:r>
        <w:t xml:space="preserve">28.1 Unbeschränkte Haftung</w:t>
      </w:r>
    </w:p>
    <w:p>
      <w:pPr>
        <w:pStyle w:val="FirstParagraph"/>
      </w:pPr>
      <w:r>
        <w:t xml:space="preserve">WUXUAI haftet unbeschränkt, soweit gesetzlich zwingend, insbesondere für:</w:t>
      </w:r>
    </w:p>
    <w:p>
      <w:pPr>
        <w:pStyle w:val="Compact"/>
        <w:numPr>
          <w:ilvl w:val="0"/>
          <w:numId w:val="1043"/>
        </w:numPr>
      </w:pPr>
      <w:r>
        <w:t xml:space="preserve">vorsätzlich verursachte Schäden;</w:t>
      </w:r>
    </w:p>
    <w:p>
      <w:pPr>
        <w:pStyle w:val="Compact"/>
        <w:numPr>
          <w:ilvl w:val="0"/>
          <w:numId w:val="1043"/>
        </w:numPr>
      </w:pPr>
      <w:r>
        <w:t xml:space="preserve">Personenschäden;</w:t>
      </w:r>
    </w:p>
    <w:p>
      <w:pPr>
        <w:pStyle w:val="Compact"/>
        <w:numPr>
          <w:ilvl w:val="0"/>
          <w:numId w:val="1043"/>
        </w:numPr>
      </w:pPr>
      <w:r>
        <w:t xml:space="preserve">sonstige Fälle zwingender gesetzlicher Haftung.</w:t>
      </w:r>
    </w:p>
    <w:bookmarkEnd w:id="134"/>
    <w:bookmarkStart w:id="135" w:name="grobe-fahrlässigkeit"/>
    <w:p>
      <w:pPr>
        <w:pStyle w:val="Heading2"/>
      </w:pPr>
      <w:r>
        <w:t xml:space="preserve">28.2 Grobe Fahrlässigkeit</w:t>
      </w:r>
    </w:p>
    <w:p>
      <w:pPr>
        <w:pStyle w:val="FirstParagraph"/>
      </w:pPr>
      <w:r>
        <w:t xml:space="preserve">Für grob fahrlässig verursachte Schäden haftet WUXUAI nach den gesetzlichen Bestimmungen, vorbehaltlich zulässiger vertraglicher Begrenzungen.</w:t>
      </w:r>
    </w:p>
    <w:bookmarkEnd w:id="135"/>
    <w:bookmarkStart w:id="136" w:name="leichte-fahrlässigkeit"/>
    <w:p>
      <w:pPr>
        <w:pStyle w:val="Heading2"/>
      </w:pPr>
      <w:r>
        <w:t xml:space="preserve">28.3 Leichte Fahrlässigkeit</w:t>
      </w:r>
    </w:p>
    <w:p>
      <w:pPr>
        <w:pStyle w:val="FirstParagraph"/>
      </w:pPr>
      <w:r>
        <w:t xml:space="preserve">Für leichte Fahrlässigkeit haftet WUXUAI nur bei Verletzung wesentlicher Vertragspflichten, deren Erfüllung die ordnungsgemäße Vertragsdurchführung erst ermöglicht und auf deren Einhaltung der Kunde regelmäßig vertrauen darf.</w:t>
      </w:r>
    </w:p>
    <w:p>
      <w:pPr>
        <w:pStyle w:val="BodyText"/>
      </w:pPr>
      <w:r>
        <w:t xml:space="preserve">Die Haftung ist in diesen Fällen auf den typischen, bei Vertragsabschluss vorhersehbaren Schaden begrenzt.</w:t>
      </w:r>
    </w:p>
    <w:bookmarkEnd w:id="136"/>
    <w:bookmarkStart w:id="137" w:name="haftungshöchstbetrag"/>
    <w:p>
      <w:pPr>
        <w:pStyle w:val="Heading2"/>
      </w:pPr>
      <w:r>
        <w:t xml:space="preserve">28.4 Haftungshöchstbetrag</w:t>
      </w:r>
    </w:p>
    <w:p>
      <w:pPr>
        <w:pStyle w:val="FirstParagraph"/>
      </w:pPr>
      <w:r>
        <w:t xml:space="preserve">Soweit gesetzlich zulässig, soll die Haftung für leicht fahrlässig verursachte Vermögensschäden auf folgenden Betrag begrenzt werden:</w:t>
      </w:r>
    </w:p>
    <w:p>
      <w:pPr>
        <w:pStyle w:val="SourceCode"/>
      </w:pPr>
      <w:r>
        <w:rPr>
          <w:rStyle w:val="VerbatimChar"/>
        </w:rPr>
        <w:t xml:space="preserve">[HAFTUNGSMODELL DURCH RECHTSANWALT FESTLEGEN]</w:t>
      </w:r>
    </w:p>
    <w:p>
      <w:pPr>
        <w:pStyle w:val="FirstParagraph"/>
      </w:pPr>
      <w:r>
        <w:t xml:space="preserve">Mögliche Prüfvariante:</w:t>
      </w:r>
    </w:p>
    <w:p>
      <w:pPr>
        <w:pStyle w:val="BlockText"/>
      </w:pPr>
      <w:r>
        <w:t xml:space="preserve">das vom Kunden in den letzten zwölf Monaten vor dem Schadensereignis bezahlte Nettoentgelt.</w:t>
      </w:r>
    </w:p>
    <w:p>
      <w:pPr>
        <w:pStyle w:val="FirstParagraph"/>
      </w:pPr>
      <w:r>
        <w:t xml:space="preserve">Diese Klausel darf erst nach anwaltlicher Bestätigung verwendet werden.</w:t>
      </w:r>
    </w:p>
    <w:bookmarkEnd w:id="137"/>
    <w:bookmarkStart w:id="138" w:name="indirekte-schäden"/>
    <w:p>
      <w:pPr>
        <w:pStyle w:val="Heading2"/>
      </w:pPr>
      <w:r>
        <w:t xml:space="preserve">28.5 Indirekte Schäden</w:t>
      </w:r>
    </w:p>
    <w:p>
      <w:pPr>
        <w:pStyle w:val="FirstParagraph"/>
      </w:pPr>
      <w:r>
        <w:t xml:space="preserve">Soweit gesetzlich zulässig, haftet WUXUAI bei leichter Fahrlässigkeit nicht für:</w:t>
      </w:r>
    </w:p>
    <w:p>
      <w:pPr>
        <w:pStyle w:val="Compact"/>
        <w:numPr>
          <w:ilvl w:val="0"/>
          <w:numId w:val="1044"/>
        </w:numPr>
      </w:pPr>
      <w:r>
        <w:t xml:space="preserve">entgangenen Gewinn;</w:t>
      </w:r>
    </w:p>
    <w:p>
      <w:pPr>
        <w:pStyle w:val="Compact"/>
        <w:numPr>
          <w:ilvl w:val="0"/>
          <w:numId w:val="1044"/>
        </w:numPr>
      </w:pPr>
      <w:r>
        <w:t xml:space="preserve">mittelbare Schäden;</w:t>
      </w:r>
    </w:p>
    <w:p>
      <w:pPr>
        <w:pStyle w:val="Compact"/>
        <w:numPr>
          <w:ilvl w:val="0"/>
          <w:numId w:val="1044"/>
        </w:numPr>
      </w:pPr>
      <w:r>
        <w:t xml:space="preserve">Folgeschäden;</w:t>
      </w:r>
    </w:p>
    <w:p>
      <w:pPr>
        <w:pStyle w:val="Compact"/>
        <w:numPr>
          <w:ilvl w:val="0"/>
          <w:numId w:val="1044"/>
        </w:numPr>
      </w:pPr>
      <w:r>
        <w:t xml:space="preserve">ausgebliebene Einsparungen;</w:t>
      </w:r>
    </w:p>
    <w:p>
      <w:pPr>
        <w:pStyle w:val="Compact"/>
        <w:numPr>
          <w:ilvl w:val="0"/>
          <w:numId w:val="1044"/>
        </w:numPr>
      </w:pPr>
      <w:r>
        <w:t xml:space="preserve">reine Reputationsschäden;</w:t>
      </w:r>
    </w:p>
    <w:p>
      <w:pPr>
        <w:pStyle w:val="Compact"/>
        <w:numPr>
          <w:ilvl w:val="0"/>
          <w:numId w:val="1044"/>
        </w:numPr>
      </w:pPr>
      <w:r>
        <w:t xml:space="preserve">Verlust von Geschäftschancen.</w:t>
      </w:r>
    </w:p>
    <w:bookmarkEnd w:id="138"/>
    <w:bookmarkStart w:id="139" w:name="datenverlust"/>
    <w:p>
      <w:pPr>
        <w:pStyle w:val="Heading2"/>
      </w:pPr>
      <w:r>
        <w:t xml:space="preserve">28.6 Datenverlust</w:t>
      </w:r>
    </w:p>
    <w:p>
      <w:pPr>
        <w:pStyle w:val="FirstParagraph"/>
      </w:pPr>
      <w:r>
        <w:t xml:space="preserve">Bei schuldhaftem Datenverlust ist die Haftung auf den Wiederherstellungsaufwand begrenzt, der bei ordnungsgemäßer und dem Risiko angemessener Datensicherung angefallen wäre, soweit dies rechtlich zulässig ist.</w:t>
      </w:r>
    </w:p>
    <w:bookmarkEnd w:id="139"/>
    <w:bookmarkStart w:id="140" w:name="restaurantleistungen"/>
    <w:p>
      <w:pPr>
        <w:pStyle w:val="Heading2"/>
      </w:pPr>
      <w:r>
        <w:t xml:space="preserve">28.7 Restaurantleistungen</w:t>
      </w:r>
    </w:p>
    <w:p>
      <w:pPr>
        <w:pStyle w:val="FirstParagraph"/>
      </w:pPr>
      <w:r>
        <w:t xml:space="preserve">WUXUAI haftet nicht für:</w:t>
      </w:r>
    </w:p>
    <w:p>
      <w:pPr>
        <w:pStyle w:val="Compact"/>
        <w:numPr>
          <w:ilvl w:val="0"/>
          <w:numId w:val="1045"/>
        </w:numPr>
      </w:pPr>
      <w:r>
        <w:t xml:space="preserve">Qualität von Speisen oder Getränken;</w:t>
      </w:r>
    </w:p>
    <w:p>
      <w:pPr>
        <w:pStyle w:val="Compact"/>
        <w:numPr>
          <w:ilvl w:val="0"/>
          <w:numId w:val="1045"/>
        </w:numPr>
      </w:pPr>
      <w:r>
        <w:t xml:space="preserve">Allergene;</w:t>
      </w:r>
    </w:p>
    <w:p>
      <w:pPr>
        <w:pStyle w:val="Compact"/>
        <w:numPr>
          <w:ilvl w:val="0"/>
          <w:numId w:val="1045"/>
        </w:numPr>
      </w:pPr>
      <w:r>
        <w:t xml:space="preserve">Restaurantöffnungszeiten;</w:t>
      </w:r>
    </w:p>
    <w:p>
      <w:pPr>
        <w:pStyle w:val="Compact"/>
        <w:numPr>
          <w:ilvl w:val="0"/>
          <w:numId w:val="1045"/>
        </w:numPr>
      </w:pPr>
      <w:r>
        <w:t xml:space="preserve">Preisangaben des Restaurants;</w:t>
      </w:r>
    </w:p>
    <w:p>
      <w:pPr>
        <w:pStyle w:val="Compact"/>
        <w:numPr>
          <w:ilvl w:val="0"/>
          <w:numId w:val="1045"/>
        </w:numPr>
      </w:pPr>
      <w:r>
        <w:t xml:space="preserve">Nichtverfügbarkeit eines Rewards;</w:t>
      </w:r>
    </w:p>
    <w:p>
      <w:pPr>
        <w:pStyle w:val="Compact"/>
        <w:numPr>
          <w:ilvl w:val="0"/>
          <w:numId w:val="1045"/>
        </w:numPr>
      </w:pPr>
      <w:r>
        <w:t xml:space="preserve">verweigerte gastronomische Einlösung;</w:t>
      </w:r>
    </w:p>
    <w:p>
      <w:pPr>
        <w:pStyle w:val="Compact"/>
        <w:numPr>
          <w:ilvl w:val="0"/>
          <w:numId w:val="1045"/>
        </w:numPr>
      </w:pPr>
      <w:r>
        <w:t xml:space="preserve">Rechtswidrigkeit der Restaurantwerbung;</w:t>
      </w:r>
    </w:p>
    <w:p>
      <w:pPr>
        <w:pStyle w:val="Compact"/>
        <w:numPr>
          <w:ilvl w:val="0"/>
          <w:numId w:val="1045"/>
        </w:numPr>
      </w:pPr>
      <w:r>
        <w:t xml:space="preserve">steuerliche Behandlung des Kunden.</w:t>
      </w:r>
    </w:p>
    <w:p>
      <w:pPr>
        <w:pStyle w:val="FirstParagraph"/>
      </w:pPr>
      <w:r>
        <w:t xml:space="preserve">Zwingende eigene Verantwortlichkeiten von WUXUAI bleiben unberührt.</w:t>
      </w:r>
    </w:p>
    <w:p>
      <w:r>
        <w:pict>
          <v:rect style="width:0;height:1.5pt" o:hralign="center" o:hrstd="t" o:hr="t"/>
        </w:pict>
      </w:r>
    </w:p>
    <w:bookmarkEnd w:id="140"/>
    <w:bookmarkEnd w:id="141"/>
    <w:bookmarkStart w:id="142" w:name="freistellung"/>
    <w:p>
      <w:pPr>
        <w:pStyle w:val="Heading1"/>
      </w:pPr>
      <w:r>
        <w:t xml:space="preserve">29. Freistellung</w:t>
      </w:r>
    </w:p>
    <w:p>
      <w:pPr>
        <w:pStyle w:val="FirstParagraph"/>
      </w:pPr>
      <w:r>
        <w:t xml:space="preserve">Der Kunde hält WUXUAI im gesetzlich zulässigen Umfang von berechtigten Ansprüchen Dritter frei, die daraus entstehen, dass der Kunde:</w:t>
      </w:r>
    </w:p>
    <w:p>
      <w:pPr>
        <w:pStyle w:val="Compact"/>
        <w:numPr>
          <w:ilvl w:val="0"/>
          <w:numId w:val="1046"/>
        </w:numPr>
      </w:pPr>
      <w:r>
        <w:t xml:space="preserve">rechtswidrige Inhalte bereitstellt;</w:t>
      </w:r>
    </w:p>
    <w:p>
      <w:pPr>
        <w:pStyle w:val="Compact"/>
        <w:numPr>
          <w:ilvl w:val="0"/>
          <w:numId w:val="1046"/>
        </w:numPr>
      </w:pPr>
      <w:r>
        <w:t xml:space="preserve">fremde Rechte verletzt;</w:t>
      </w:r>
    </w:p>
    <w:p>
      <w:pPr>
        <w:pStyle w:val="Compact"/>
        <w:numPr>
          <w:ilvl w:val="0"/>
          <w:numId w:val="1046"/>
        </w:numPr>
      </w:pPr>
      <w:r>
        <w:t xml:space="preserve">unzulässige Werbung versendet;</w:t>
      </w:r>
    </w:p>
    <w:p>
      <w:pPr>
        <w:pStyle w:val="Compact"/>
        <w:numPr>
          <w:ilvl w:val="0"/>
          <w:numId w:val="1046"/>
        </w:numPr>
      </w:pPr>
      <w:r>
        <w:t xml:space="preserve">sein Bonusprogramm rechtswidrig betreibt;</w:t>
      </w:r>
    </w:p>
    <w:p>
      <w:pPr>
        <w:pStyle w:val="Compact"/>
        <w:numPr>
          <w:ilvl w:val="0"/>
          <w:numId w:val="1046"/>
        </w:numPr>
      </w:pPr>
      <w:r>
        <w:t xml:space="preserve">datenschutzwidrige Weisungen erteilt;</w:t>
      </w:r>
    </w:p>
    <w:p>
      <w:pPr>
        <w:pStyle w:val="Compact"/>
        <w:numPr>
          <w:ilvl w:val="0"/>
          <w:numId w:val="1046"/>
        </w:numPr>
      </w:pPr>
      <w:r>
        <w:t xml:space="preserve">Rewards nicht erfüllt;</w:t>
      </w:r>
    </w:p>
    <w:p>
      <w:pPr>
        <w:pStyle w:val="Compact"/>
        <w:numPr>
          <w:ilvl w:val="0"/>
          <w:numId w:val="1046"/>
        </w:numPr>
      </w:pPr>
      <w:r>
        <w:t xml:space="preserve">falsche Unternehmensangaben macht.</w:t>
      </w:r>
    </w:p>
    <w:p>
      <w:pPr>
        <w:pStyle w:val="FirstParagraph"/>
      </w:pPr>
      <w:r>
        <w:t xml:space="preserve">Die Freistellung setzt voraus, dass WUXUAI:</w:t>
      </w:r>
    </w:p>
    <w:p>
      <w:pPr>
        <w:pStyle w:val="Compact"/>
        <w:numPr>
          <w:ilvl w:val="0"/>
          <w:numId w:val="1047"/>
        </w:numPr>
      </w:pPr>
      <w:r>
        <w:t xml:space="preserve">den Kunden angemessen informiert;</w:t>
      </w:r>
    </w:p>
    <w:p>
      <w:pPr>
        <w:pStyle w:val="Compact"/>
        <w:numPr>
          <w:ilvl w:val="0"/>
          <w:numId w:val="1047"/>
        </w:numPr>
      </w:pPr>
      <w:r>
        <w:t xml:space="preserve">dem Kunden die Rechtsverteidigung nicht ohne Grund erschwert;</w:t>
      </w:r>
    </w:p>
    <w:p>
      <w:pPr>
        <w:pStyle w:val="Compact"/>
        <w:numPr>
          <w:ilvl w:val="0"/>
          <w:numId w:val="1047"/>
        </w:numPr>
      </w:pPr>
      <w:r>
        <w:t xml:space="preserve">keine Anerkenntnisse ohne Abstimmung abgibt, soweit zumutbar.</w:t>
      </w:r>
    </w:p>
    <w:p>
      <w:r>
        <w:pict>
          <v:rect style="width:0;height:1.5pt" o:hralign="center" o:hrstd="t" o:hr="t"/>
        </w:pict>
      </w:r>
    </w:p>
    <w:bookmarkEnd w:id="142"/>
    <w:bookmarkStart w:id="147" w:name="vertraulichkeit"/>
    <w:p>
      <w:pPr>
        <w:pStyle w:val="Heading1"/>
      </w:pPr>
      <w:r>
        <w:t xml:space="preserve">30. Vertraulichkeit</w:t>
      </w:r>
    </w:p>
    <w:bookmarkStart w:id="143" w:name="vertrauliche-informationen"/>
    <w:p>
      <w:pPr>
        <w:pStyle w:val="Heading2"/>
      </w:pPr>
      <w:r>
        <w:t xml:space="preserve">30.1 Vertrauliche Informationen</w:t>
      </w:r>
    </w:p>
    <w:p>
      <w:pPr>
        <w:pStyle w:val="FirstParagraph"/>
      </w:pPr>
      <w:r>
        <w:t xml:space="preserve">Beide Parteien behandeln nicht öffentliche geschäftliche, technische und organisatorische Informationen vertraulich.</w:t>
      </w:r>
    </w:p>
    <w:bookmarkEnd w:id="143"/>
    <w:bookmarkStart w:id="144" w:name="ausnahmen"/>
    <w:p>
      <w:pPr>
        <w:pStyle w:val="Heading2"/>
      </w:pPr>
      <w:r>
        <w:t xml:space="preserve">30.2 Ausnahmen</w:t>
      </w:r>
    </w:p>
    <w:p>
      <w:pPr>
        <w:pStyle w:val="FirstParagraph"/>
      </w:pPr>
      <w:r>
        <w:t xml:space="preserve">Nicht vertraulich sind Informationen, die:</w:t>
      </w:r>
    </w:p>
    <w:p>
      <w:pPr>
        <w:pStyle w:val="Compact"/>
        <w:numPr>
          <w:ilvl w:val="0"/>
          <w:numId w:val="1048"/>
        </w:numPr>
      </w:pPr>
      <w:r>
        <w:t xml:space="preserve">allgemein bekannt sind;</w:t>
      </w:r>
    </w:p>
    <w:p>
      <w:pPr>
        <w:pStyle w:val="Compact"/>
        <w:numPr>
          <w:ilvl w:val="0"/>
          <w:numId w:val="1048"/>
        </w:numPr>
      </w:pPr>
      <w:r>
        <w:t xml:space="preserve">ohne Vertragsverletzung öffentlich werden;</w:t>
      </w:r>
    </w:p>
    <w:p>
      <w:pPr>
        <w:pStyle w:val="Compact"/>
        <w:numPr>
          <w:ilvl w:val="0"/>
          <w:numId w:val="1048"/>
        </w:numPr>
      </w:pPr>
      <w:r>
        <w:t xml:space="preserve">nachweislich bereits rechtmäßig bekannt waren;</w:t>
      </w:r>
    </w:p>
    <w:p>
      <w:pPr>
        <w:pStyle w:val="Compact"/>
        <w:numPr>
          <w:ilvl w:val="0"/>
          <w:numId w:val="1048"/>
        </w:numPr>
      </w:pPr>
      <w:r>
        <w:t xml:space="preserve">rechtmäßig von Dritten erhalten wurden;</w:t>
      </w:r>
    </w:p>
    <w:p>
      <w:pPr>
        <w:pStyle w:val="Compact"/>
        <w:numPr>
          <w:ilvl w:val="0"/>
          <w:numId w:val="1048"/>
        </w:numPr>
      </w:pPr>
      <w:r>
        <w:t xml:space="preserve">unabhängig entwickelt wurden.</w:t>
      </w:r>
    </w:p>
    <w:bookmarkEnd w:id="144"/>
    <w:bookmarkStart w:id="145" w:name="gesetzliche-offenlegung"/>
    <w:p>
      <w:pPr>
        <w:pStyle w:val="Heading2"/>
      </w:pPr>
      <w:r>
        <w:t xml:space="preserve">30.3 Gesetzliche Offenlegung</w:t>
      </w:r>
    </w:p>
    <w:p>
      <w:pPr>
        <w:pStyle w:val="FirstParagraph"/>
      </w:pPr>
      <w:r>
        <w:t xml:space="preserve">Eine Offenlegung aufgrund gesetzlicher, gerichtlicher oder behördlicher Verpflichtung bleibt zulässig.</w:t>
      </w:r>
    </w:p>
    <w:p>
      <w:pPr>
        <w:pStyle w:val="BodyText"/>
      </w:pPr>
      <w:r>
        <w:t xml:space="preserve">Die andere Partei wird, soweit erlaubt, vorher informiert.</w:t>
      </w:r>
    </w:p>
    <w:bookmarkEnd w:id="145"/>
    <w:bookmarkStart w:id="146" w:name="fortgeltung"/>
    <w:p>
      <w:pPr>
        <w:pStyle w:val="Heading2"/>
      </w:pPr>
      <w:r>
        <w:t xml:space="preserve">30.4 Fortgeltung</w:t>
      </w:r>
    </w:p>
    <w:p>
      <w:pPr>
        <w:pStyle w:val="FirstParagraph"/>
      </w:pPr>
      <w:r>
        <w:t xml:space="preserve">Die Vertraulichkeitspflichten gelten auch nach Vertragsende für einen angemessenen Zeitraum beziehungsweise bei Geschäftsgeheimnissen solange deren Schutzvoraussetzungen bestehen.</w:t>
      </w:r>
    </w:p>
    <w:p>
      <w:r>
        <w:pict>
          <v:rect style="width:0;height:1.5pt" o:hralign="center" o:hrstd="t" o:hr="t"/>
        </w:pict>
      </w:r>
    </w:p>
    <w:bookmarkEnd w:id="146"/>
    <w:bookmarkEnd w:id="147"/>
    <w:bookmarkStart w:id="148" w:name="geistiges-eigentum"/>
    <w:p>
      <w:pPr>
        <w:pStyle w:val="Heading1"/>
      </w:pPr>
      <w:r>
        <w:t xml:space="preserve">31. Geistiges Eigentum</w:t>
      </w:r>
    </w:p>
    <w:p>
      <w:pPr>
        <w:pStyle w:val="FirstParagraph"/>
      </w:pPr>
      <w:r>
        <w:t xml:space="preserve">Sämtliche Rechte an:</w:t>
      </w:r>
    </w:p>
    <w:p>
      <w:pPr>
        <w:pStyle w:val="Compact"/>
        <w:numPr>
          <w:ilvl w:val="0"/>
          <w:numId w:val="1049"/>
        </w:numPr>
      </w:pPr>
      <w:r>
        <w:t xml:space="preserve">Software;</w:t>
      </w:r>
    </w:p>
    <w:p>
      <w:pPr>
        <w:pStyle w:val="Compact"/>
        <w:numPr>
          <w:ilvl w:val="0"/>
          <w:numId w:val="1049"/>
        </w:numPr>
      </w:pPr>
      <w:r>
        <w:t xml:space="preserve">Quellcode;</w:t>
      </w:r>
    </w:p>
    <w:p>
      <w:pPr>
        <w:pStyle w:val="Compact"/>
        <w:numPr>
          <w:ilvl w:val="0"/>
          <w:numId w:val="1049"/>
        </w:numPr>
      </w:pPr>
      <w:r>
        <w:t xml:space="preserve">Datenbankstruktur;</w:t>
      </w:r>
    </w:p>
    <w:p>
      <w:pPr>
        <w:pStyle w:val="Compact"/>
        <w:numPr>
          <w:ilvl w:val="0"/>
          <w:numId w:val="1049"/>
        </w:numPr>
      </w:pPr>
      <w:r>
        <w:t xml:space="preserve">Designsystem;</w:t>
      </w:r>
    </w:p>
    <w:p>
      <w:pPr>
        <w:pStyle w:val="Compact"/>
        <w:numPr>
          <w:ilvl w:val="0"/>
          <w:numId w:val="1049"/>
        </w:numPr>
      </w:pPr>
      <w:r>
        <w:t xml:space="preserve">Marken;</w:t>
      </w:r>
    </w:p>
    <w:p>
      <w:pPr>
        <w:pStyle w:val="Compact"/>
        <w:numPr>
          <w:ilvl w:val="0"/>
          <w:numId w:val="1049"/>
        </w:numPr>
      </w:pPr>
      <w:r>
        <w:t xml:space="preserve">Dokumentation;</w:t>
      </w:r>
    </w:p>
    <w:p>
      <w:pPr>
        <w:pStyle w:val="Compact"/>
        <w:numPr>
          <w:ilvl w:val="0"/>
          <w:numId w:val="1049"/>
        </w:numPr>
      </w:pPr>
      <w:r>
        <w:t xml:space="preserve">technischen Konzepten;</w:t>
      </w:r>
    </w:p>
    <w:p>
      <w:pPr>
        <w:pStyle w:val="Compact"/>
        <w:numPr>
          <w:ilvl w:val="0"/>
          <w:numId w:val="1049"/>
        </w:numPr>
      </w:pPr>
      <w:r>
        <w:t xml:space="preserve">Plattformfunktionen</w:t>
      </w:r>
    </w:p>
    <w:p>
      <w:pPr>
        <w:pStyle w:val="FirstParagraph"/>
      </w:pPr>
      <w:r>
        <w:t xml:space="preserve">verbleiben bei WUXUAI oder den jeweiligen Lizenzgebern.</w:t>
      </w:r>
    </w:p>
    <w:p>
      <w:pPr>
        <w:pStyle w:val="BodyText"/>
      </w:pPr>
      <w:r>
        <w:t xml:space="preserve">Der Kunde erwirbt keine Eigentumsrechte an der Plattform.</w:t>
      </w:r>
    </w:p>
    <w:p>
      <w:pPr>
        <w:pStyle w:val="BodyText"/>
      </w:pPr>
      <w:r>
        <w:t xml:space="preserve">Feedback darf WUXUAI unentgeltlich zur Verbesserung der Plattform nutzen, sofern dabei keine vertraulichen Kundendaten offengelegt werden.</w:t>
      </w:r>
    </w:p>
    <w:p>
      <w:r>
        <w:pict>
          <v:rect style="width:0;height:1.5pt" o:hralign="center" o:hrstd="t" o:hr="t"/>
        </w:pict>
      </w:r>
    </w:p>
    <w:bookmarkEnd w:id="148"/>
    <w:bookmarkStart w:id="149" w:name="referenznennung"/>
    <w:p>
      <w:pPr>
        <w:pStyle w:val="Heading1"/>
      </w:pPr>
      <w:r>
        <w:t xml:space="preserve">32. Referenznennung</w:t>
      </w:r>
    </w:p>
    <w:p>
      <w:pPr>
        <w:pStyle w:val="FirstParagraph"/>
      </w:pPr>
      <w:r>
        <w:t xml:space="preserve">WUXUAI darf Namen oder Logo des Kunden nur dann öffentlich als Referenz verwenden, wenn:</w:t>
      </w:r>
    </w:p>
    <w:p>
      <w:pPr>
        <w:pStyle w:val="Compact"/>
        <w:numPr>
          <w:ilvl w:val="0"/>
          <w:numId w:val="1050"/>
        </w:numPr>
      </w:pPr>
      <w:r>
        <w:t xml:space="preserve">der Kunde ausdrücklich zugestimmt hat; oder</w:t>
      </w:r>
    </w:p>
    <w:p>
      <w:pPr>
        <w:pStyle w:val="Compact"/>
        <w:numPr>
          <w:ilvl w:val="0"/>
          <w:numId w:val="1050"/>
        </w:numPr>
      </w:pPr>
      <w:r>
        <w:t xml:space="preserve">dies im Bestellformular gesondert vereinbart wurde.</w:t>
      </w:r>
    </w:p>
    <w:p>
      <w:pPr>
        <w:pStyle w:val="FirstParagraph"/>
      </w:pPr>
      <w:r>
        <w:t xml:space="preserve">Eine Zustimmung kann für zukünftige Verwendungen widerrufen werden.</w:t>
      </w:r>
    </w:p>
    <w:p>
      <w:r>
        <w:pict>
          <v:rect style="width:0;height:1.5pt" o:hralign="center" o:hrstd="t" o:hr="t"/>
        </w:pict>
      </w:r>
    </w:p>
    <w:bookmarkEnd w:id="149"/>
    <w:bookmarkStart w:id="150" w:name="höhere-gewalt"/>
    <w:p>
      <w:pPr>
        <w:pStyle w:val="Heading1"/>
      </w:pPr>
      <w:r>
        <w:t xml:space="preserve">33. Höhere Gewalt</w:t>
      </w:r>
    </w:p>
    <w:p>
      <w:pPr>
        <w:pStyle w:val="FirstParagraph"/>
      </w:pPr>
      <w:r>
        <w:t xml:space="preserve">Keine Partei haftet für Verzögerungen oder Nichterfüllung, soweit diese durch außerhalb ihrer zumutbaren Kontrolle liegende Ereignisse verursacht werden.</w:t>
      </w:r>
    </w:p>
    <w:p>
      <w:pPr>
        <w:pStyle w:val="BodyText"/>
      </w:pPr>
      <w:r>
        <w:t xml:space="preserve">Dazu können gehören:</w:t>
      </w:r>
    </w:p>
    <w:p>
      <w:pPr>
        <w:pStyle w:val="Compact"/>
        <w:numPr>
          <w:ilvl w:val="0"/>
          <w:numId w:val="1051"/>
        </w:numPr>
      </w:pPr>
      <w:r>
        <w:t xml:space="preserve">Naturkatastrophen;</w:t>
      </w:r>
    </w:p>
    <w:p>
      <w:pPr>
        <w:pStyle w:val="Compact"/>
        <w:numPr>
          <w:ilvl w:val="0"/>
          <w:numId w:val="1051"/>
        </w:numPr>
      </w:pPr>
      <w:r>
        <w:t xml:space="preserve">Krieg;</w:t>
      </w:r>
    </w:p>
    <w:p>
      <w:pPr>
        <w:pStyle w:val="Compact"/>
        <w:numPr>
          <w:ilvl w:val="0"/>
          <w:numId w:val="1051"/>
        </w:numPr>
      </w:pPr>
      <w:r>
        <w:t xml:space="preserve">behördliche Maßnahmen;</w:t>
      </w:r>
    </w:p>
    <w:p>
      <w:pPr>
        <w:pStyle w:val="Compact"/>
        <w:numPr>
          <w:ilvl w:val="0"/>
          <w:numId w:val="1051"/>
        </w:numPr>
      </w:pPr>
      <w:r>
        <w:t xml:space="preserve">großflächige Ausfälle;</w:t>
      </w:r>
    </w:p>
    <w:p>
      <w:pPr>
        <w:pStyle w:val="Compact"/>
        <w:numPr>
          <w:ilvl w:val="0"/>
          <w:numId w:val="1051"/>
        </w:numPr>
      </w:pPr>
      <w:r>
        <w:t xml:space="preserve">Arbeitskämpfe;</w:t>
      </w:r>
    </w:p>
    <w:p>
      <w:pPr>
        <w:pStyle w:val="Compact"/>
        <w:numPr>
          <w:ilvl w:val="0"/>
          <w:numId w:val="1051"/>
        </w:numPr>
      </w:pPr>
      <w:r>
        <w:t xml:space="preserve">Pandemien;</w:t>
      </w:r>
    </w:p>
    <w:p>
      <w:pPr>
        <w:pStyle w:val="Compact"/>
        <w:numPr>
          <w:ilvl w:val="0"/>
          <w:numId w:val="1051"/>
        </w:numPr>
      </w:pPr>
      <w:r>
        <w:t xml:space="preserve">erhebliche Cyberangriffe;</w:t>
      </w:r>
    </w:p>
    <w:p>
      <w:pPr>
        <w:pStyle w:val="Compact"/>
        <w:numPr>
          <w:ilvl w:val="0"/>
          <w:numId w:val="1051"/>
        </w:numPr>
      </w:pPr>
      <w:r>
        <w:t xml:space="preserve">Ausfall zentraler Infrastruktur.</w:t>
      </w:r>
    </w:p>
    <w:p>
      <w:pPr>
        <w:pStyle w:val="FirstParagraph"/>
      </w:pPr>
      <w:r>
        <w:t xml:space="preserve">Die betroffene Partei informiert die andere Partei und bemüht sich um Schadensbegrenzung.</w:t>
      </w:r>
    </w:p>
    <w:p>
      <w:pPr>
        <w:pStyle w:val="BodyText"/>
      </w:pPr>
      <w:r>
        <w:t xml:space="preserve">Zahlungspflichten für bereits vertragsgemäß erbrachte Leistungen bleiben grundsätzlich bestehen.</w:t>
      </w:r>
    </w:p>
    <w:p>
      <w:r>
        <w:pict>
          <v:rect style="width:0;height:1.5pt" o:hralign="center" o:hrstd="t" o:hr="t"/>
        </w:pict>
      </w:r>
    </w:p>
    <w:bookmarkEnd w:id="150"/>
    <w:bookmarkStart w:id="156" w:name="änderungen-dieser-agb"/>
    <w:p>
      <w:pPr>
        <w:pStyle w:val="Heading1"/>
      </w:pPr>
      <w:r>
        <w:t xml:space="preserve">34. Änderungen dieser AGB</w:t>
      </w:r>
    </w:p>
    <w:bookmarkStart w:id="151" w:name="gründe-1"/>
    <w:p>
      <w:pPr>
        <w:pStyle w:val="Heading2"/>
      </w:pPr>
      <w:r>
        <w:t xml:space="preserve">34.1 Gründe</w:t>
      </w:r>
    </w:p>
    <w:p>
      <w:pPr>
        <w:pStyle w:val="FirstParagraph"/>
      </w:pPr>
      <w:r>
        <w:t xml:space="preserve">WUXUAI darf Änderungen vorschlagen, insbesondere aufgrund von:</w:t>
      </w:r>
    </w:p>
    <w:p>
      <w:pPr>
        <w:pStyle w:val="Compact"/>
        <w:numPr>
          <w:ilvl w:val="0"/>
          <w:numId w:val="1052"/>
        </w:numPr>
      </w:pPr>
      <w:r>
        <w:t xml:space="preserve">Gesetzesänderungen;</w:t>
      </w:r>
    </w:p>
    <w:p>
      <w:pPr>
        <w:pStyle w:val="Compact"/>
        <w:numPr>
          <w:ilvl w:val="0"/>
          <w:numId w:val="1052"/>
        </w:numPr>
      </w:pPr>
      <w:r>
        <w:t xml:space="preserve">Rechtsprechung;</w:t>
      </w:r>
    </w:p>
    <w:p>
      <w:pPr>
        <w:pStyle w:val="Compact"/>
        <w:numPr>
          <w:ilvl w:val="0"/>
          <w:numId w:val="1052"/>
        </w:numPr>
      </w:pPr>
      <w:r>
        <w:t xml:space="preserve">Sicherheitsanforderungen;</w:t>
      </w:r>
    </w:p>
    <w:p>
      <w:pPr>
        <w:pStyle w:val="Compact"/>
        <w:numPr>
          <w:ilvl w:val="0"/>
          <w:numId w:val="1052"/>
        </w:numPr>
      </w:pPr>
      <w:r>
        <w:t xml:space="preserve">neuen Funktionen;</w:t>
      </w:r>
    </w:p>
    <w:p>
      <w:pPr>
        <w:pStyle w:val="Compact"/>
        <w:numPr>
          <w:ilvl w:val="0"/>
          <w:numId w:val="1052"/>
        </w:numPr>
      </w:pPr>
      <w:r>
        <w:t xml:space="preserve">geänderten technischen Abläufen;</w:t>
      </w:r>
    </w:p>
    <w:p>
      <w:pPr>
        <w:pStyle w:val="Compact"/>
        <w:numPr>
          <w:ilvl w:val="0"/>
          <w:numId w:val="1052"/>
        </w:numPr>
      </w:pPr>
      <w:r>
        <w:t xml:space="preserve">geänderten Geschäftsmodellen.</w:t>
      </w:r>
    </w:p>
    <w:bookmarkEnd w:id="151"/>
    <w:bookmarkStart w:id="152" w:name="mitteilung"/>
    <w:p>
      <w:pPr>
        <w:pStyle w:val="Heading2"/>
      </w:pPr>
      <w:r>
        <w:t xml:space="preserve">34.2 Mitteilung</w:t>
      </w:r>
    </w:p>
    <w:p>
      <w:pPr>
        <w:pStyle w:val="FirstParagraph"/>
      </w:pPr>
      <w:r>
        <w:t xml:space="preserve">Wesentliche Änderungen werden dem Kunden angemessen vor Inkrafttreten mitgeteilt.</w:t>
      </w:r>
    </w:p>
    <w:bookmarkEnd w:id="152"/>
    <w:bookmarkStart w:id="153" w:name="zustimmung"/>
    <w:p>
      <w:pPr>
        <w:pStyle w:val="Heading2"/>
      </w:pPr>
      <w:r>
        <w:t xml:space="preserve">34.3 Zustimmung</w:t>
      </w:r>
    </w:p>
    <w:p>
      <w:pPr>
        <w:pStyle w:val="FirstParagraph"/>
      </w:pPr>
      <w:r>
        <w:t xml:space="preserve">Änderungen, die wesentliche Vertragspflichten, Preise, Haftung oder Datenschutzrollen nachteilig verändern, bedürfen einer rechtlich geeigneten Vertragsgrundlage und gegebenenfalls ausdrücklicher Zustimmung.</w:t>
      </w:r>
    </w:p>
    <w:bookmarkEnd w:id="153"/>
    <w:bookmarkStart w:id="154" w:name="keine-pauschale-zustimmungsfiktion"/>
    <w:p>
      <w:pPr>
        <w:pStyle w:val="Heading2"/>
      </w:pPr>
      <w:r>
        <w:t xml:space="preserve">34.4 Keine pauschale Zustimmungsfiktion</w:t>
      </w:r>
    </w:p>
    <w:p>
      <w:pPr>
        <w:pStyle w:val="FirstParagraph"/>
      </w:pPr>
      <w:r>
        <w:t xml:space="preserve">Eine Zustimmungsfiktion allein durch Schweigen oder weitere Nutzung wird nicht verwendet, sofern ihre Wirksamkeit nicht für die konkrete Änderung anwaltlich bestätigt wurde.</w:t>
      </w:r>
    </w:p>
    <w:bookmarkEnd w:id="154"/>
    <w:bookmarkStart w:id="155" w:name="ablehnung"/>
    <w:p>
      <w:pPr>
        <w:pStyle w:val="Heading2"/>
      </w:pPr>
      <w:r>
        <w:t xml:space="preserve">34.5 Ablehnung</w:t>
      </w:r>
    </w:p>
    <w:p>
      <w:pPr>
        <w:pStyle w:val="FirstParagraph"/>
      </w:pPr>
      <w:r>
        <w:t xml:space="preserve">Ist eine erforderliche Einigung nicht möglich, kann jede Partei den Vertrag nach der für diesen Fall vorgesehenen Regel kündigen.</w:t>
      </w:r>
    </w:p>
    <w:p>
      <w:r>
        <w:pict>
          <v:rect style="width:0;height:1.5pt" o:hralign="center" o:hrstd="t" o:hr="t"/>
        </w:pict>
      </w:r>
    </w:p>
    <w:bookmarkEnd w:id="155"/>
    <w:bookmarkEnd w:id="156"/>
    <w:bookmarkStart w:id="157" w:name="mitteilungen"/>
    <w:p>
      <w:pPr>
        <w:pStyle w:val="Heading1"/>
      </w:pPr>
      <w:r>
        <w:t xml:space="preserve">35. Mitteilungen</w:t>
      </w:r>
    </w:p>
    <w:p>
      <w:pPr>
        <w:pStyle w:val="FirstParagraph"/>
      </w:pPr>
      <w:r>
        <w:t xml:space="preserve">Vertragsrelevante Mitteilungen erfolgen an die im Kundenkonto hinterlegten Kontaktdaten.</w:t>
      </w:r>
    </w:p>
    <w:p>
      <w:pPr>
        <w:pStyle w:val="BodyText"/>
      </w:pPr>
      <w:r>
        <w:t xml:space="preserve">Der Kunde ist verpflichtet, diese aktuell zu halten.</w:t>
      </w:r>
    </w:p>
    <w:p>
      <w:pPr>
        <w:pStyle w:val="BodyText"/>
      </w:pPr>
      <w:r>
        <w:t xml:space="preserve">Mitteilungen können insbesondere erfolgen durch:</w:t>
      </w:r>
    </w:p>
    <w:p>
      <w:pPr>
        <w:pStyle w:val="Compact"/>
        <w:numPr>
          <w:ilvl w:val="0"/>
          <w:numId w:val="1053"/>
        </w:numPr>
      </w:pPr>
      <w:r>
        <w:t xml:space="preserve">E-Mail;</w:t>
      </w:r>
    </w:p>
    <w:p>
      <w:pPr>
        <w:pStyle w:val="Compact"/>
        <w:numPr>
          <w:ilvl w:val="0"/>
          <w:numId w:val="1053"/>
        </w:numPr>
      </w:pPr>
      <w:r>
        <w:t xml:space="preserve">Vertragsbereich;</w:t>
      </w:r>
    </w:p>
    <w:p>
      <w:pPr>
        <w:pStyle w:val="Compact"/>
        <w:numPr>
          <w:ilvl w:val="0"/>
          <w:numId w:val="1053"/>
        </w:numPr>
      </w:pPr>
      <w:r>
        <w:t xml:space="preserve">schriftliche Nachricht;</w:t>
      </w:r>
    </w:p>
    <w:p>
      <w:pPr>
        <w:pStyle w:val="Compact"/>
        <w:numPr>
          <w:ilvl w:val="0"/>
          <w:numId w:val="1053"/>
        </w:numPr>
      </w:pPr>
      <w:r>
        <w:t xml:space="preserve">elektronische Signaturplattform.</w:t>
      </w:r>
    </w:p>
    <w:p>
      <w:pPr>
        <w:pStyle w:val="FirstParagraph"/>
      </w:pPr>
      <w:r>
        <w:t xml:space="preserve">Sicherheitskritische Informationen können zusätzlich über weitere geeignete Kanäle übermittelt werden.</w:t>
      </w:r>
    </w:p>
    <w:p>
      <w:r>
        <w:pict>
          <v:rect style="width:0;height:1.5pt" o:hralign="center" o:hrstd="t" o:hr="t"/>
        </w:pict>
      </w:r>
    </w:p>
    <w:bookmarkEnd w:id="157"/>
    <w:bookmarkStart w:id="158" w:name="abtretung-und-vertragsübertragung"/>
    <w:p>
      <w:pPr>
        <w:pStyle w:val="Heading1"/>
      </w:pPr>
      <w:r>
        <w:t xml:space="preserve">36. Abtretung und Vertragsübertragung</w:t>
      </w:r>
    </w:p>
    <w:p>
      <w:pPr>
        <w:pStyle w:val="FirstParagraph"/>
      </w:pPr>
      <w:r>
        <w:t xml:space="preserve">Der Kunde darf den Vertrag oder Rechte daraus nur mit vorheriger Zustimmung von WUXUAI übertragen.</w:t>
      </w:r>
    </w:p>
    <w:p>
      <w:pPr>
        <w:pStyle w:val="BodyText"/>
      </w:pPr>
      <w:r>
        <w:t xml:space="preserve">WUXUAI darf den Vertrag im Rahmen einer:</w:t>
      </w:r>
    </w:p>
    <w:p>
      <w:pPr>
        <w:pStyle w:val="Compact"/>
        <w:numPr>
          <w:ilvl w:val="0"/>
          <w:numId w:val="1054"/>
        </w:numPr>
      </w:pPr>
      <w:r>
        <w:t xml:space="preserve">Umgründung;</w:t>
      </w:r>
    </w:p>
    <w:p>
      <w:pPr>
        <w:pStyle w:val="Compact"/>
        <w:numPr>
          <w:ilvl w:val="0"/>
          <w:numId w:val="1054"/>
        </w:numPr>
      </w:pPr>
      <w:r>
        <w:t xml:space="preserve">Gesamtrechtsnachfolge;</w:t>
      </w:r>
    </w:p>
    <w:p>
      <w:pPr>
        <w:pStyle w:val="Compact"/>
        <w:numPr>
          <w:ilvl w:val="0"/>
          <w:numId w:val="1054"/>
        </w:numPr>
      </w:pPr>
      <w:r>
        <w:t xml:space="preserve">Unternehmensübertragung;</w:t>
      </w:r>
    </w:p>
    <w:p>
      <w:pPr>
        <w:pStyle w:val="Compact"/>
        <w:numPr>
          <w:ilvl w:val="0"/>
          <w:numId w:val="1054"/>
        </w:numPr>
      </w:pPr>
      <w:r>
        <w:t xml:space="preserve">konzerninternen Neuordnung</w:t>
      </w:r>
    </w:p>
    <w:p>
      <w:pPr>
        <w:pStyle w:val="FirstParagraph"/>
      </w:pPr>
      <w:r>
        <w:t xml:space="preserve">auf einen geeigneten Rechtsnachfolger übertragen, sofern berechtigte Interessen des Kunden gewahrt bleiben und Datenschutzpflichten eingehalten werden.</w:t>
      </w:r>
    </w:p>
    <w:p>
      <w:r>
        <w:pict>
          <v:rect style="width:0;height:1.5pt" o:hralign="center" o:hrstd="t" o:hr="t"/>
        </w:pict>
      </w:r>
    </w:p>
    <w:bookmarkEnd w:id="158"/>
    <w:bookmarkStart w:id="159" w:name="aufrechnung-und-zurückbehaltung"/>
    <w:p>
      <w:pPr>
        <w:pStyle w:val="Heading1"/>
      </w:pPr>
      <w:r>
        <w:t xml:space="preserve">37. Aufrechnung und Zurückbehaltung</w:t>
      </w:r>
    </w:p>
    <w:p>
      <w:pPr>
        <w:pStyle w:val="FirstParagraph"/>
      </w:pPr>
      <w:r>
        <w:t xml:space="preserve">Der Kunde darf nur mit:</w:t>
      </w:r>
    </w:p>
    <w:p>
      <w:pPr>
        <w:pStyle w:val="Compact"/>
        <w:numPr>
          <w:ilvl w:val="0"/>
          <w:numId w:val="1055"/>
        </w:numPr>
      </w:pPr>
      <w:r>
        <w:t xml:space="preserve">rechtskräftig festgestellten;</w:t>
      </w:r>
    </w:p>
    <w:p>
      <w:pPr>
        <w:pStyle w:val="Compact"/>
        <w:numPr>
          <w:ilvl w:val="0"/>
          <w:numId w:val="1055"/>
        </w:numPr>
      </w:pPr>
      <w:r>
        <w:t xml:space="preserve">von WUXUAI anerkannten;</w:t>
      </w:r>
    </w:p>
    <w:p>
      <w:pPr>
        <w:pStyle w:val="Compact"/>
        <w:numPr>
          <w:ilvl w:val="0"/>
          <w:numId w:val="1055"/>
        </w:numPr>
      </w:pPr>
      <w:r>
        <w:t xml:space="preserve">in rechtlichem Zusammenhang stehenden</w:t>
      </w:r>
    </w:p>
    <w:p>
      <w:pPr>
        <w:pStyle w:val="FirstParagraph"/>
      </w:pPr>
      <w:r>
        <w:t xml:space="preserve">Forderungen aufrechnen, soweit eine solche Einschränkung im konkreten B2B-Vertrag zulässig ist.</w:t>
      </w:r>
    </w:p>
    <w:p>
      <w:pPr>
        <w:pStyle w:val="BodyText"/>
      </w:pPr>
      <w:r>
        <w:t xml:space="preserve">Zurückbehaltungsrechte dürfen nur im gesetzlich zulässigen Umfang ausgeübt werden.</w:t>
      </w:r>
    </w:p>
    <w:p>
      <w:pPr>
        <w:pStyle w:val="BodyText"/>
      </w:pPr>
      <w:r>
        <w:t xml:space="preserve">Diese Klausel ist anwaltlich zu prüfen.</w:t>
      </w:r>
    </w:p>
    <w:p>
      <w:r>
        <w:pict>
          <v:rect style="width:0;height:1.5pt" o:hralign="center" o:hrstd="t" o:hr="t"/>
        </w:pict>
      </w:r>
    </w:p>
    <w:bookmarkEnd w:id="159"/>
    <w:bookmarkStart w:id="160" w:name="subunternehmer"/>
    <w:p>
      <w:pPr>
        <w:pStyle w:val="Heading1"/>
      </w:pPr>
      <w:r>
        <w:t xml:space="preserve">38. Subunternehmer</w:t>
      </w:r>
    </w:p>
    <w:p>
      <w:pPr>
        <w:pStyle w:val="FirstParagraph"/>
      </w:pPr>
      <w:r>
        <w:t xml:space="preserve">WUXUAI darf zur Vertragserfüllung geeignete Subunternehmer einsetzen.</w:t>
      </w:r>
    </w:p>
    <w:p>
      <w:pPr>
        <w:pStyle w:val="BodyText"/>
      </w:pPr>
      <w:r>
        <w:t xml:space="preserve">Die datenschutzrechtlichen Anforderungen an Unterauftragsverarbeiter richten sich zusätzlich nach dem Auftragsverarbeitungsvertrag.</w:t>
      </w:r>
    </w:p>
    <w:p>
      <w:pPr>
        <w:pStyle w:val="BodyText"/>
      </w:pPr>
      <w:r>
        <w:t xml:space="preserve">WUXUAI bleibt gegenüber dem Kunden für die eigene Vertragserfüllung verantwortlich, soweit gesetzlich oder vertraglich nichts anderes zulässig vereinbart ist.</w:t>
      </w:r>
    </w:p>
    <w:p>
      <w:r>
        <w:pict>
          <v:rect style="width:0;height:1.5pt" o:hralign="center" o:hrstd="t" o:hr="t"/>
        </w:pict>
      </w:r>
    </w:p>
    <w:bookmarkEnd w:id="160"/>
    <w:bookmarkStart w:id="161" w:name="anwendbares-recht"/>
    <w:p>
      <w:pPr>
        <w:pStyle w:val="Heading1"/>
      </w:pPr>
      <w:r>
        <w:t xml:space="preserve">39. Anwendbares Recht</w:t>
      </w:r>
    </w:p>
    <w:p>
      <w:pPr>
        <w:pStyle w:val="FirstParagraph"/>
      </w:pPr>
      <w:r>
        <w:t xml:space="preserve">Es gilt österreichisches Recht unter Ausschluss:</w:t>
      </w:r>
    </w:p>
    <w:p>
      <w:pPr>
        <w:pStyle w:val="Compact"/>
        <w:numPr>
          <w:ilvl w:val="0"/>
          <w:numId w:val="1056"/>
        </w:numPr>
      </w:pPr>
      <w:r>
        <w:t xml:space="preserve">der Kollisionsnormen, soweit zulässig;</w:t>
      </w:r>
    </w:p>
    <w:p>
      <w:pPr>
        <w:pStyle w:val="Compact"/>
        <w:numPr>
          <w:ilvl w:val="0"/>
          <w:numId w:val="1056"/>
        </w:numPr>
      </w:pPr>
      <w:r>
        <w:t xml:space="preserve">des UN-Kaufrechts.</w:t>
      </w:r>
    </w:p>
    <w:p>
      <w:pPr>
        <w:pStyle w:val="FirstParagraph"/>
      </w:pPr>
      <w:r>
        <w:t xml:space="preserve">Zwingende gesetzliche Vorschriften bleiben unberührt.</w:t>
      </w:r>
    </w:p>
    <w:p>
      <w:r>
        <w:pict>
          <v:rect style="width:0;height:1.5pt" o:hralign="center" o:hrstd="t" o:hr="t"/>
        </w:pict>
      </w:r>
    </w:p>
    <w:bookmarkEnd w:id="161"/>
    <w:bookmarkStart w:id="162" w:name="gerichtsstand"/>
    <w:p>
      <w:pPr>
        <w:pStyle w:val="Heading1"/>
      </w:pPr>
      <w:r>
        <w:t xml:space="preserve">40. Gerichtsstand</w:t>
      </w:r>
    </w:p>
    <w:p>
      <w:pPr>
        <w:pStyle w:val="FirstParagraph"/>
      </w:pPr>
      <w:r>
        <w:t xml:space="preserve">Für sämtliche Streitigkeiten aus oder im Zusammenhang mit dem Vertrag wird, soweit gesetzlich zulässig, die ausschließliche Zuständigkeit des sachlich zuständigen Gerichts am Sitz von WUXUAI vereinbart.</w:t>
      </w:r>
    </w:p>
    <w:p>
      <w:pPr>
        <w:pStyle w:val="BodyText"/>
      </w:pPr>
      <w:r>
        <w:t xml:space="preserve">Konkreter Gerichtsstand:</w:t>
      </w:r>
    </w:p>
    <w:p>
      <w:pPr>
        <w:pStyle w:val="SourceCode"/>
      </w:pPr>
      <w:r>
        <w:rPr>
          <w:rStyle w:val="VerbatimChar"/>
        </w:rPr>
        <w:t xml:space="preserve">[GERICHTSSTAND NACH GESELLSCHAFTSGRÜNDUNG]</w:t>
      </w:r>
    </w:p>
    <w:p>
      <w:r>
        <w:pict>
          <v:rect style="width:0;height:1.5pt" o:hralign="center" o:hrstd="t" o:hr="t"/>
        </w:pict>
      </w:r>
    </w:p>
    <w:bookmarkEnd w:id="162"/>
    <w:bookmarkStart w:id="163" w:name="rangfolge-der-vertragsdokumente"/>
    <w:p>
      <w:pPr>
        <w:pStyle w:val="Heading1"/>
      </w:pPr>
      <w:r>
        <w:t xml:space="preserve">41. Rangfolge der Vertragsdokumente</w:t>
      </w:r>
    </w:p>
    <w:p>
      <w:pPr>
        <w:pStyle w:val="FirstParagraph"/>
      </w:pPr>
      <w:r>
        <w:t xml:space="preserve">Bei Widersprüchen gilt folgende Rangfolge:</w:t>
      </w:r>
    </w:p>
    <w:p>
      <w:pPr>
        <w:pStyle w:val="Compact"/>
        <w:numPr>
          <w:ilvl w:val="0"/>
          <w:numId w:val="1057"/>
        </w:numPr>
      </w:pPr>
      <w:r>
        <w:t xml:space="preserve">individuelle schriftliche Vereinbarung;</w:t>
      </w:r>
    </w:p>
    <w:p>
      <w:pPr>
        <w:pStyle w:val="Compact"/>
        <w:numPr>
          <w:ilvl w:val="0"/>
          <w:numId w:val="1057"/>
        </w:numPr>
      </w:pPr>
      <w:r>
        <w:t xml:space="preserve">Bestellformular oder Angebot;</w:t>
      </w:r>
    </w:p>
    <w:p>
      <w:pPr>
        <w:pStyle w:val="Compact"/>
        <w:numPr>
          <w:ilvl w:val="0"/>
          <w:numId w:val="1057"/>
        </w:numPr>
      </w:pPr>
      <w:r>
        <w:t xml:space="preserve">Leistungsbeschreibung;</w:t>
      </w:r>
    </w:p>
    <w:p>
      <w:pPr>
        <w:pStyle w:val="Compact"/>
        <w:numPr>
          <w:ilvl w:val="0"/>
          <w:numId w:val="1057"/>
        </w:numPr>
      </w:pPr>
      <w:r>
        <w:t xml:space="preserve">Auftragsverarbeitungsvertrag für Datenschutzfragen;</w:t>
      </w:r>
    </w:p>
    <w:p>
      <w:pPr>
        <w:pStyle w:val="Compact"/>
        <w:numPr>
          <w:ilvl w:val="0"/>
          <w:numId w:val="1057"/>
        </w:numPr>
      </w:pPr>
      <w:r>
        <w:t xml:space="preserve">Service-Level-Vereinbarung;</w:t>
      </w:r>
    </w:p>
    <w:p>
      <w:pPr>
        <w:pStyle w:val="Compact"/>
        <w:numPr>
          <w:ilvl w:val="0"/>
          <w:numId w:val="1057"/>
        </w:numPr>
      </w:pPr>
      <w:r>
        <w:t xml:space="preserve">diese AGB;</w:t>
      </w:r>
    </w:p>
    <w:p>
      <w:pPr>
        <w:pStyle w:val="Compact"/>
        <w:numPr>
          <w:ilvl w:val="0"/>
          <w:numId w:val="1057"/>
        </w:numPr>
      </w:pPr>
      <w:r>
        <w:t xml:space="preserve">sonstige Dokumentation.</w:t>
      </w:r>
    </w:p>
    <w:p>
      <w:pPr>
        <w:pStyle w:val="FirstParagraph"/>
      </w:pPr>
      <w:r>
        <w:t xml:space="preserve">Der Auftragsverarbeitungsvertrag hat für seinen datenschutzrechtlichen Regelungsbereich Vorrang.</w:t>
      </w:r>
    </w:p>
    <w:p>
      <w:r>
        <w:pict>
          <v:rect style="width:0;height:1.5pt" o:hralign="center" o:hrstd="t" o:hr="t"/>
        </w:pict>
      </w:r>
    </w:p>
    <w:bookmarkEnd w:id="163"/>
    <w:bookmarkStart w:id="164" w:name="teilunwirksamkeit"/>
    <w:p>
      <w:pPr>
        <w:pStyle w:val="Heading1"/>
      </w:pPr>
      <w:r>
        <w:t xml:space="preserve">42. Teilunwirksamkeit</w:t>
      </w:r>
    </w:p>
    <w:p>
      <w:pPr>
        <w:pStyle w:val="FirstParagraph"/>
      </w:pPr>
      <w:r>
        <w:t xml:space="preserve">Sollte eine Bestimmung unwirksam oder undurchführbar sein, bleibt der übrige Vertrag grundsätzlich bestehen.</w:t>
      </w:r>
    </w:p>
    <w:p>
      <w:pPr>
        <w:pStyle w:val="BodyText"/>
      </w:pPr>
      <w:r>
        <w:t xml:space="preserve">An die Stelle der unwirksamen Bestimmung tritt nicht automatisch eine vom Verwender einseitig bestimmte Regel.</w:t>
      </w:r>
    </w:p>
    <w:p>
      <w:pPr>
        <w:pStyle w:val="BodyText"/>
      </w:pPr>
      <w:r>
        <w:t xml:space="preserve">Die Parteien werden eine rechtlich zulässige Regelung vereinbaren, die dem wirtschaftlichen Zweck möglichst nahekommt.</w:t>
      </w:r>
    </w:p>
    <w:p>
      <w:r>
        <w:pict>
          <v:rect style="width:0;height:1.5pt" o:hralign="center" o:hrstd="t" o:hr="t"/>
        </w:pict>
      </w:r>
    </w:p>
    <w:bookmarkEnd w:id="164"/>
    <w:bookmarkStart w:id="165" w:name="vertragssprache"/>
    <w:p>
      <w:pPr>
        <w:pStyle w:val="Heading1"/>
      </w:pPr>
      <w:r>
        <w:t xml:space="preserve">43. Vertragssprache</w:t>
      </w:r>
    </w:p>
    <w:p>
      <w:pPr>
        <w:pStyle w:val="FirstParagraph"/>
      </w:pPr>
      <w:r>
        <w:t xml:space="preserve">Verbindliche Vertragssprache ist Deutsch, sofern im Bestellformular nichts anderes vereinbart wird.</w:t>
      </w:r>
    </w:p>
    <w:p>
      <w:pPr>
        <w:pStyle w:val="BodyText"/>
      </w:pPr>
      <w:r>
        <w:t xml:space="preserve">Übersetzungen dienen nur der Information, sofern sie nicht ausdrücklich als verbindlich bezeichnet werden.</w:t>
      </w:r>
    </w:p>
    <w:p>
      <w:r>
        <w:pict>
          <v:rect style="width:0;height:1.5pt" o:hralign="center" o:hrstd="t" o:hr="t"/>
        </w:pict>
      </w:r>
    </w:p>
    <w:bookmarkEnd w:id="165"/>
    <w:bookmarkStart w:id="166" w:name="kontakt"/>
    <w:p>
      <w:pPr>
        <w:pStyle w:val="Heading1"/>
      </w:pPr>
      <w:r>
        <w:t xml:space="preserve">44. Kontakt</w:t>
      </w:r>
    </w:p>
    <w:p>
      <w:pPr>
        <w:pStyle w:val="FirstParagraph"/>
      </w:pPr>
      <w:r>
        <w:t xml:space="preserve">Vertragsfragen:</w:t>
      </w:r>
    </w:p>
    <w:p>
      <w:pPr>
        <w:pStyle w:val="BodyText"/>
      </w:pPr>
      <w:r>
        <w:rPr>
          <w:b/>
          <w:bCs/>
        </w:rPr>
        <w:t xml:space="preserve">[VERTRAGS-EMAIL]</w:t>
      </w:r>
    </w:p>
    <w:p>
      <w:pPr>
        <w:pStyle w:val="BodyText"/>
      </w:pPr>
      <w:r>
        <w:t xml:space="preserve">Support:</w:t>
      </w:r>
    </w:p>
    <w:p>
      <w:pPr>
        <w:pStyle w:val="BodyText"/>
      </w:pPr>
      <w:r>
        <w:rPr>
          <w:b/>
          <w:bCs/>
        </w:rPr>
        <w:t xml:space="preserve">[SUPPORT-EMAIL]</w:t>
      </w:r>
    </w:p>
    <w:p>
      <w:pPr>
        <w:pStyle w:val="BodyText"/>
      </w:pPr>
      <w:r>
        <w:t xml:space="preserve">Datenschutz:</w:t>
      </w:r>
    </w:p>
    <w:p>
      <w:pPr>
        <w:pStyle w:val="BodyText"/>
      </w:pPr>
      <w:r>
        <w:rPr>
          <w:b/>
          <w:bCs/>
        </w:rPr>
        <w:t xml:space="preserve">[DATENSCHUTZ-EMAIL]</w:t>
      </w:r>
    </w:p>
    <w:p>
      <w:pPr>
        <w:pStyle w:val="BodyText"/>
      </w:pPr>
      <w:r>
        <w:t xml:space="preserve">Anschrift:</w:t>
      </w:r>
    </w:p>
    <w:p>
      <w:pPr>
        <w:pStyle w:val="BodyText"/>
      </w:pPr>
      <w:r>
        <w:rPr>
          <w:b/>
          <w:bCs/>
        </w:rPr>
        <w:t xml:space="preserve">WUXUAI GmbH</w:t>
      </w:r>
      <w:r>
        <w:br/>
      </w:r>
      <w:r>
        <w:t xml:space="preserve">[GESCHÄFTSANSCHRIFT]</w:t>
      </w:r>
    </w:p>
    <w:p>
      <w:r>
        <w:pict>
          <v:rect style="width:0;height:1.5pt" o:hralign="center" o:hrstd="t" o:hr="t"/>
        </w:pict>
      </w:r>
    </w:p>
    <w:bookmarkEnd w:id="166"/>
    <w:bookmarkStart w:id="167" w:name="versionsinformation"/>
    <w:p>
      <w:pPr>
        <w:pStyle w:val="Heading1"/>
      </w:pPr>
      <w:r>
        <w:t xml:space="preserve">45. Versionsinformation</w:t>
      </w:r>
    </w:p>
    <w:p>
      <w:pPr>
        <w:pStyle w:val="FirstParagraph"/>
      </w:pPr>
      <w:r>
        <w:rPr>
          <w:b/>
          <w:bCs/>
        </w:rPr>
        <w:t xml:space="preserve">Dokumentversion:</w:t>
      </w:r>
      <w:r>
        <w:t xml:space="preserve"> </w:t>
      </w:r>
      <w:r>
        <w:t xml:space="preserve">1.0-DRAFT</w:t>
      </w:r>
      <w:r>
        <w:br/>
      </w:r>
      <w:r>
        <w:rPr>
          <w:b/>
          <w:bCs/>
        </w:rPr>
        <w:t xml:space="preserve">Erstellt am:</w:t>
      </w:r>
      <w:r>
        <w:t xml:space="preserve"> </w:t>
      </w:r>
      <w:r>
        <w:t xml:space="preserve">[DATUM]</w:t>
      </w:r>
      <w:r>
        <w:br/>
      </w:r>
      <w:r>
        <w:rPr>
          <w:b/>
          <w:bCs/>
        </w:rPr>
        <w:t xml:space="preserve">Rechtlich geprüft am:</w:t>
      </w:r>
      <w:r>
        <w:t xml:space="preserve"> </w:t>
      </w:r>
      <w:r>
        <w:t xml:space="preserve">[OFFEN]</w:t>
      </w:r>
      <w:r>
        <w:br/>
      </w:r>
      <w:r>
        <w:rPr>
          <w:b/>
          <w:bCs/>
        </w:rPr>
        <w:t xml:space="preserve">Geprüft durch:</w:t>
      </w:r>
      <w:r>
        <w:t xml:space="preserve"> </w:t>
      </w:r>
      <w:r>
        <w:t xml:space="preserve">[OFFEN]</w:t>
      </w:r>
      <w:r>
        <w:br/>
      </w:r>
      <w:r>
        <w:rPr>
          <w:b/>
          <w:bCs/>
        </w:rPr>
        <w:t xml:space="preserve">Freigegeben am:</w:t>
      </w:r>
      <w:r>
        <w:t xml:space="preserve"> </w:t>
      </w:r>
      <w:r>
        <w:t xml:space="preserve">[OFFEN]</w:t>
      </w:r>
      <w:r>
        <w:br/>
      </w:r>
      <w:r>
        <w:rPr>
          <w:b/>
          <w:bCs/>
        </w:rPr>
        <w:t xml:space="preserve">Inkrafttreten:</w:t>
      </w:r>
      <w:r>
        <w:t xml:space="preserve"> </w:t>
      </w:r>
      <w:r>
        <w:t xml:space="preserve">[OFFEN]</w:t>
      </w:r>
      <w:r>
        <w:br/>
      </w:r>
      <w:r>
        <w:rPr>
          <w:b/>
          <w:bCs/>
        </w:rPr>
        <w:t xml:space="preserve">Dokumenthash:</w:t>
      </w:r>
      <w:r>
        <w:t xml:space="preserve"> </w:t>
      </w:r>
      <w:r>
        <w:t xml:space="preserve">[OFFEN]</w:t>
      </w:r>
    </w:p>
    <w:p>
      <w:r>
        <w:pict>
          <v:rect style="width:0;height:1.5pt" o:hralign="center" o:hrstd="t" o:hr="t"/>
        </w:pict>
      </w:r>
    </w:p>
    <w:bookmarkEnd w:id="167"/>
    <w:bookmarkStart w:id="168" w:name="anlage-a-veröffentlichungsgates"/>
    <w:p>
      <w:pPr>
        <w:pStyle w:val="Heading1"/>
      </w:pPr>
      <w:r>
        <w:t xml:space="preserve">Anlage A – Veröffentlichungsgates</w:t>
      </w:r>
    </w:p>
    <w:p>
      <w:pPr>
        <w:pStyle w:val="FirstParagraph"/>
      </w:pPr>
      <w:r>
        <w:t xml:space="preserve">Diese AGB dürfen nicht als verbindliche Production-Fassung veröffentlicht werden, solange insbesondere folgende Angaben fehlen:</w:t>
      </w:r>
    </w:p>
    <w:p>
      <w:pPr>
        <w:pStyle w:val="SourceCode"/>
      </w:pPr>
      <w:r>
        <w:rPr>
          <w:rStyle w:val="VerbatimChar"/>
        </w:rPr>
        <w:t xml:space="preserve">WUXUAI-Geschäftsanschrift</w:t>
      </w:r>
      <w:r>
        <w:br/>
      </w:r>
      <w:r>
        <w:rPr>
          <w:rStyle w:val="VerbatimChar"/>
        </w:rPr>
        <w:t xml:space="preserve">Firmenbuchnummer</w:t>
      </w:r>
      <w:r>
        <w:br/>
      </w:r>
      <w:r>
        <w:rPr>
          <w:rStyle w:val="VerbatimChar"/>
        </w:rPr>
        <w:t xml:space="preserve">Firmenbuchgericht</w:t>
      </w:r>
      <w:r>
        <w:br/>
      </w:r>
      <w:r>
        <w:rPr>
          <w:rStyle w:val="VerbatimChar"/>
        </w:rPr>
        <w:t xml:space="preserve">UID-Nummer</w:t>
      </w:r>
      <w:r>
        <w:br/>
      </w:r>
      <w:r>
        <w:rPr>
          <w:rStyle w:val="VerbatimChar"/>
        </w:rPr>
        <w:t xml:space="preserve">Geschäftsführung</w:t>
      </w:r>
      <w:r>
        <w:br/>
      </w:r>
      <w:r>
        <w:rPr>
          <w:rStyle w:val="VerbatimChar"/>
        </w:rPr>
        <w:t xml:space="preserve">Gewerbeberechtigung</w:t>
      </w:r>
      <w:r>
        <w:br/>
      </w:r>
      <w:r>
        <w:rPr>
          <w:rStyle w:val="VerbatimChar"/>
        </w:rPr>
        <w:t xml:space="preserve">Tarifmodell</w:t>
      </w:r>
      <w:r>
        <w:br/>
      </w:r>
      <w:r>
        <w:rPr>
          <w:rStyle w:val="VerbatimChar"/>
        </w:rPr>
        <w:t xml:space="preserve">Trial-Dauer</w:t>
      </w:r>
      <w:r>
        <w:br/>
      </w:r>
      <w:r>
        <w:rPr>
          <w:rStyle w:val="VerbatimChar"/>
        </w:rPr>
        <w:t xml:space="preserve">Abrechnungsintervall</w:t>
      </w:r>
      <w:r>
        <w:br/>
      </w:r>
      <w:r>
        <w:rPr>
          <w:rStyle w:val="VerbatimChar"/>
        </w:rPr>
        <w:t xml:space="preserve">Kündigungsfrist</w:t>
      </w:r>
      <w:r>
        <w:br/>
      </w:r>
      <w:r>
        <w:rPr>
          <w:rStyle w:val="VerbatimChar"/>
        </w:rPr>
        <w:t xml:space="preserve">Exportfrist</w:t>
      </w:r>
      <w:r>
        <w:br/>
      </w:r>
      <w:r>
        <w:rPr>
          <w:rStyle w:val="VerbatimChar"/>
        </w:rPr>
        <w:t xml:space="preserve">Supportumfang</w:t>
      </w:r>
      <w:r>
        <w:br/>
      </w:r>
      <w:r>
        <w:rPr>
          <w:rStyle w:val="VerbatimChar"/>
        </w:rPr>
        <w:t xml:space="preserve">SLA</w:t>
      </w:r>
      <w:r>
        <w:br/>
      </w:r>
      <w:r>
        <w:rPr>
          <w:rStyle w:val="VerbatimChar"/>
        </w:rPr>
        <w:t xml:space="preserve">Haftungsmodell</w:t>
      </w:r>
      <w:r>
        <w:br/>
      </w:r>
      <w:r>
        <w:rPr>
          <w:rStyle w:val="VerbatimChar"/>
        </w:rPr>
        <w:t xml:space="preserve">Gerichtsstand</w:t>
      </w:r>
      <w:r>
        <w:br/>
      </w:r>
      <w:r>
        <w:rPr>
          <w:rStyle w:val="VerbatimChar"/>
        </w:rPr>
        <w:t xml:space="preserve">Unterauftragsverarbeiter</w:t>
      </w:r>
      <w:r>
        <w:br/>
      </w:r>
      <w:r>
        <w:rPr>
          <w:rStyle w:val="VerbatimChar"/>
        </w:rPr>
        <w:t xml:space="preserve">anwaltliche Freigabereferenz</w:t>
      </w:r>
      <w:r>
        <w:br/>
      </w:r>
      <w:r>
        <w:rPr>
          <w:rStyle w:val="VerbatimChar"/>
        </w:rPr>
        <w:t xml:space="preserve">steuerliche Prüfung der Zahlungsabschnitte</w:t>
      </w:r>
    </w:p>
    <w:p>
      <w:r>
        <w:pict>
          <v:rect style="width:0;height:1.5pt" o:hralign="center" o:hrstd="t" o:hr="t"/>
        </w:pict>
      </w:r>
    </w:p>
    <w:bookmarkEnd w:id="168"/>
    <w:bookmarkStart w:id="169" w:name="anlage-b-technische-annahmelogik"/>
    <w:p>
      <w:pPr>
        <w:pStyle w:val="Heading1"/>
      </w:pPr>
      <w:r>
        <w:t xml:space="preserve">Anlage B – Technische Annahmelogik</w:t>
      </w:r>
    </w:p>
    <w:p>
      <w:pPr>
        <w:pStyle w:val="FirstParagraph"/>
      </w:pPr>
      <w:r>
        <w:t xml:space="preserve">Vor elektronischer Annahme muss die Plattform anzeigen:</w:t>
      </w:r>
    </w:p>
    <w:p>
      <w:pPr>
        <w:pStyle w:val="SourceCode"/>
      </w:pPr>
      <w:r>
        <w:rPr>
          <w:rStyle w:val="VerbatimChar"/>
        </w:rPr>
        <w:t xml:space="preserve">Vertragspartner</w:t>
      </w:r>
      <w:r>
        <w:br/>
      </w:r>
      <w:r>
        <w:rPr>
          <w:rStyle w:val="VerbatimChar"/>
        </w:rPr>
        <w:t xml:space="preserve">Tarif</w:t>
      </w:r>
      <w:r>
        <w:br/>
      </w:r>
      <w:r>
        <w:rPr>
          <w:rStyle w:val="VerbatimChar"/>
        </w:rPr>
        <w:t xml:space="preserve">Nettopreis</w:t>
      </w:r>
      <w:r>
        <w:br/>
      </w:r>
      <w:r>
        <w:rPr>
          <w:rStyle w:val="VerbatimChar"/>
        </w:rPr>
        <w:t xml:space="preserve">Umsatzsteuer</w:t>
      </w:r>
      <w:r>
        <w:br/>
      </w:r>
      <w:r>
        <w:rPr>
          <w:rStyle w:val="VerbatimChar"/>
        </w:rPr>
        <w:t xml:space="preserve">Bruttopreis</w:t>
      </w:r>
      <w:r>
        <w:br/>
      </w:r>
      <w:r>
        <w:rPr>
          <w:rStyle w:val="VerbatimChar"/>
        </w:rPr>
        <w:t xml:space="preserve">Abrechnungsintervall</w:t>
      </w:r>
      <w:r>
        <w:br/>
      </w:r>
      <w:r>
        <w:rPr>
          <w:rStyle w:val="VerbatimChar"/>
        </w:rPr>
        <w:t xml:space="preserve">Mindestlaufzeit</w:t>
      </w:r>
      <w:r>
        <w:br/>
      </w:r>
      <w:r>
        <w:rPr>
          <w:rStyle w:val="VerbatimChar"/>
        </w:rPr>
        <w:t xml:space="preserve">Kündigungsfrist</w:t>
      </w:r>
      <w:r>
        <w:br/>
      </w:r>
      <w:r>
        <w:rPr>
          <w:rStyle w:val="VerbatimChar"/>
        </w:rPr>
        <w:t xml:space="preserve">Trial und automatische Umwandlung</w:t>
      </w:r>
      <w:r>
        <w:br/>
      </w:r>
      <w:r>
        <w:rPr>
          <w:rStyle w:val="VerbatimChar"/>
        </w:rPr>
        <w:t xml:space="preserve">AGB-Version</w:t>
      </w:r>
      <w:r>
        <w:br/>
      </w:r>
      <w:r>
        <w:rPr>
          <w:rStyle w:val="VerbatimChar"/>
        </w:rPr>
        <w:t xml:space="preserve">Leistungsbeschreibung-Version</w:t>
      </w:r>
      <w:r>
        <w:br/>
      </w:r>
      <w:r>
        <w:rPr>
          <w:rStyle w:val="VerbatimChar"/>
        </w:rPr>
        <w:t xml:space="preserve">AVV-Version</w:t>
      </w:r>
      <w:r>
        <w:br/>
      </w:r>
      <w:r>
        <w:rPr>
          <w:rStyle w:val="VerbatimChar"/>
        </w:rPr>
        <w:t xml:space="preserve">SLA-Version</w:t>
      </w:r>
    </w:p>
    <w:p>
      <w:pPr>
        <w:pStyle w:val="FirstParagraph"/>
      </w:pPr>
      <w:r>
        <w:t xml:space="preserve">Pflichtbestätigungen:</w:t>
      </w:r>
    </w:p>
    <w:p>
      <w:pPr>
        <w:pStyle w:val="BlockText"/>
      </w:pPr>
      <w:r>
        <w:t xml:space="preserve">[ ] Ich bestätige, dass ich als Unternehmer handle und zum Vertragsabschluss für das angegebene Unternehmen berechtigt bin.</w:t>
      </w:r>
    </w:p>
    <w:p>
      <w:pPr>
        <w:pStyle w:val="BlockText"/>
      </w:pPr>
      <w:r>
        <w:t xml:space="preserve">[ ] Ich akzeptiere die B2B-SaaS-AGB der WUXUAI GmbH.</w:t>
      </w:r>
    </w:p>
    <w:p>
      <w:pPr>
        <w:pStyle w:val="BlockText"/>
      </w:pPr>
      <w:r>
        <w:t xml:space="preserve">[ ] Ich akzeptiere den Auftragsverarbeitungsvertrag, soweit WUXUAI personenbezogene Daten in unserem Auftrag verarbeitet.</w:t>
      </w:r>
    </w:p>
    <w:p>
      <w:pPr>
        <w:pStyle w:val="FirstParagraph"/>
      </w:pPr>
      <w:r>
        <w:t xml:space="preserve">Optional und separat:</w:t>
      </w:r>
    </w:p>
    <w:p>
      <w:pPr>
        <w:pStyle w:val="BlockText"/>
      </w:pPr>
      <w:r>
        <w:t xml:space="preserve">[ ] Ich möchte Marketinginformationen von WUXUAI per E-Mail erhalten.</w:t>
      </w:r>
    </w:p>
    <w:p>
      <w:pPr>
        <w:pStyle w:val="FirstParagraph"/>
      </w:pPr>
      <w:r>
        <w:t xml:space="preserve">Die Marketingeinwilligung darf keine Voraussetzung für den SaaS-Vertrag sein.</w:t>
      </w:r>
    </w:p>
    <w:p>
      <w:r>
        <w:pict>
          <v:rect style="width:0;height:1.5pt" o:hralign="center" o:hrstd="t" o:hr="t"/>
        </w:pict>
      </w:r>
    </w:p>
    <w:bookmarkEnd w:id="169"/>
    <w:bookmarkStart w:id="170" w:name="anlage-c-annahmenachweis"/>
    <w:p>
      <w:pPr>
        <w:pStyle w:val="Heading1"/>
      </w:pPr>
      <w:r>
        <w:t xml:space="preserve">Anlage C – Annahmenachweis</w:t>
      </w:r>
    </w:p>
    <w:p>
      <w:pPr>
        <w:pStyle w:val="FirstParagraph"/>
      </w:pPr>
      <w:r>
        <w:t xml:space="preserve">Zu speichern:</w:t>
      </w:r>
    </w:p>
    <w:p>
      <w:pPr>
        <w:pStyle w:val="SourceCode"/>
      </w:pPr>
      <w:r>
        <w:rPr>
          <w:rStyle w:val="VerbatimChar"/>
        </w:rPr>
        <w:t xml:space="preserve">customer_legal_entity_id</w:t>
      </w:r>
      <w:r>
        <w:br/>
      </w:r>
      <w:r>
        <w:rPr>
          <w:rStyle w:val="VerbatimChar"/>
        </w:rPr>
        <w:t xml:space="preserve">authorised_person_id</w:t>
      </w:r>
      <w:r>
        <w:br/>
      </w:r>
      <w:r>
        <w:rPr>
          <w:rStyle w:val="VerbatimChar"/>
        </w:rPr>
        <w:t xml:space="preserve">authorised_person_name</w:t>
      </w:r>
      <w:r>
        <w:br/>
      </w:r>
      <w:r>
        <w:rPr>
          <w:rStyle w:val="VerbatimChar"/>
        </w:rPr>
        <w:t xml:space="preserve">authorised_person_role</w:t>
      </w:r>
      <w:r>
        <w:br/>
      </w:r>
      <w:r>
        <w:rPr>
          <w:rStyle w:val="VerbatimChar"/>
        </w:rPr>
        <w:t xml:space="preserve">document_id</w:t>
      </w:r>
      <w:r>
        <w:br/>
      </w:r>
      <w:r>
        <w:rPr>
          <w:rStyle w:val="VerbatimChar"/>
        </w:rPr>
        <w:t xml:space="preserve">document_type</w:t>
      </w:r>
      <w:r>
        <w:br/>
      </w:r>
      <w:r>
        <w:rPr>
          <w:rStyle w:val="VerbatimChar"/>
        </w:rPr>
        <w:t xml:space="preserve">document_version</w:t>
      </w:r>
      <w:r>
        <w:br/>
      </w:r>
      <w:r>
        <w:rPr>
          <w:rStyle w:val="VerbatimChar"/>
        </w:rPr>
        <w:t xml:space="preserve">document_hash</w:t>
      </w:r>
      <w:r>
        <w:br/>
      </w:r>
      <w:r>
        <w:rPr>
          <w:rStyle w:val="VerbatimChar"/>
        </w:rPr>
        <w:t xml:space="preserve">language</w:t>
      </w:r>
      <w:r>
        <w:br/>
      </w:r>
      <w:r>
        <w:rPr>
          <w:rStyle w:val="VerbatimChar"/>
        </w:rPr>
        <w:t xml:space="preserve">accepted_at</w:t>
      </w:r>
      <w:r>
        <w:br/>
      </w:r>
      <w:r>
        <w:rPr>
          <w:rStyle w:val="VerbatimChar"/>
        </w:rPr>
        <w:t xml:space="preserve">acceptance_source</w:t>
      </w:r>
      <w:r>
        <w:br/>
      </w:r>
      <w:r>
        <w:rPr>
          <w:rStyle w:val="VerbatimChar"/>
        </w:rPr>
        <w:t xml:space="preserve">order_reference</w:t>
      </w:r>
      <w:r>
        <w:br/>
      </w:r>
      <w:r>
        <w:rPr>
          <w:rStyle w:val="VerbatimChar"/>
        </w:rPr>
        <w:t xml:space="preserve">contract_reference</w:t>
      </w:r>
      <w:r>
        <w:br/>
      </w:r>
      <w:r>
        <w:rPr>
          <w:rStyle w:val="VerbatimChar"/>
        </w:rPr>
        <w:t xml:space="preserve">confirmation_reference</w:t>
      </w:r>
    </w:p>
    <w:p>
      <w:pPr>
        <w:pStyle w:val="FirstParagraph"/>
      </w:pPr>
      <w:r>
        <w:t xml:space="preserve">Historische Annahmen dürfen nicht überschrieben werden.</w:t>
      </w:r>
    </w:p>
    <w:p>
      <w:r>
        <w:pict>
          <v:rect style="width:0;height:1.5pt" o:hralign="center" o:hrstd="t" o:hr="t"/>
        </w:pict>
      </w:r>
    </w:p>
    <w:bookmarkEnd w:id="170"/>
    <w:bookmarkStart w:id="171" w:name="anlage-d-juristische-prüfstellen"/>
    <w:p>
      <w:pPr>
        <w:pStyle w:val="Heading1"/>
      </w:pPr>
      <w:r>
        <w:t xml:space="preserve">Anlage D – Juristische Prüfstellen</w:t>
      </w:r>
    </w:p>
    <w:p>
      <w:pPr>
        <w:pStyle w:val="FirstParagraph"/>
      </w:pPr>
      <w:r>
        <w:t xml:space="preserve">Vor Freigabe besonders zu prüfen:</w:t>
      </w:r>
    </w:p>
    <w:p>
      <w:pPr>
        <w:pStyle w:val="Compact"/>
        <w:numPr>
          <w:ilvl w:val="0"/>
          <w:numId w:val="1058"/>
        </w:numPr>
      </w:pPr>
      <w:r>
        <w:t xml:space="preserve">Wirksamkeit sämtlicher Haftungsbegrenzungen;</w:t>
      </w:r>
    </w:p>
    <w:p>
      <w:pPr>
        <w:pStyle w:val="Compact"/>
        <w:numPr>
          <w:ilvl w:val="0"/>
          <w:numId w:val="1058"/>
        </w:numPr>
      </w:pPr>
      <w:r>
        <w:t xml:space="preserve">Haftung für grobe Fahrlässigkeit;</w:t>
      </w:r>
    </w:p>
    <w:p>
      <w:pPr>
        <w:pStyle w:val="Compact"/>
        <w:numPr>
          <w:ilvl w:val="0"/>
          <w:numId w:val="1058"/>
        </w:numPr>
      </w:pPr>
      <w:r>
        <w:t xml:space="preserve">Haftung für Datenverlust;</w:t>
      </w:r>
    </w:p>
    <w:p>
      <w:pPr>
        <w:pStyle w:val="Compact"/>
        <w:numPr>
          <w:ilvl w:val="0"/>
          <w:numId w:val="1058"/>
        </w:numPr>
      </w:pPr>
      <w:r>
        <w:t xml:space="preserve">Gewährleistungsregel im B2B-SaaS-Vertrag;</w:t>
      </w:r>
    </w:p>
    <w:p>
      <w:pPr>
        <w:pStyle w:val="Compact"/>
        <w:numPr>
          <w:ilvl w:val="0"/>
          <w:numId w:val="1058"/>
        </w:numPr>
      </w:pPr>
      <w:r>
        <w:t xml:space="preserve">Preisänderungsklausel;</w:t>
      </w:r>
    </w:p>
    <w:p>
      <w:pPr>
        <w:pStyle w:val="Compact"/>
        <w:numPr>
          <w:ilvl w:val="0"/>
          <w:numId w:val="1058"/>
        </w:numPr>
      </w:pPr>
      <w:r>
        <w:t xml:space="preserve">AGB-Änderungsverfahren;</w:t>
      </w:r>
    </w:p>
    <w:p>
      <w:pPr>
        <w:pStyle w:val="Compact"/>
        <w:numPr>
          <w:ilvl w:val="0"/>
          <w:numId w:val="1058"/>
        </w:numPr>
      </w:pPr>
      <w:r>
        <w:t xml:space="preserve">Gerichtsstand;</w:t>
      </w:r>
    </w:p>
    <w:p>
      <w:pPr>
        <w:pStyle w:val="Compact"/>
        <w:numPr>
          <w:ilvl w:val="0"/>
          <w:numId w:val="1058"/>
        </w:numPr>
      </w:pPr>
      <w:r>
        <w:t xml:space="preserve">Aufrechnungsbeschränkung;</w:t>
      </w:r>
    </w:p>
    <w:p>
      <w:pPr>
        <w:pStyle w:val="Compact"/>
        <w:numPr>
          <w:ilvl w:val="0"/>
          <w:numId w:val="1058"/>
        </w:numPr>
      </w:pPr>
      <w:r>
        <w:t xml:space="preserve">automatische Vertragsverlängerung;</w:t>
      </w:r>
    </w:p>
    <w:p>
      <w:pPr>
        <w:pStyle w:val="Compact"/>
        <w:numPr>
          <w:ilvl w:val="0"/>
          <w:numId w:val="1058"/>
        </w:numPr>
      </w:pPr>
      <w:r>
        <w:t xml:space="preserve">Kündigung bei Insolvenz;</w:t>
      </w:r>
    </w:p>
    <w:p>
      <w:pPr>
        <w:pStyle w:val="Compact"/>
        <w:numPr>
          <w:ilvl w:val="0"/>
          <w:numId w:val="1058"/>
        </w:numPr>
      </w:pPr>
      <w:r>
        <w:t xml:space="preserve">Sperrung bei Zahlungsverzug;</w:t>
      </w:r>
    </w:p>
    <w:p>
      <w:pPr>
        <w:pStyle w:val="Compact"/>
        <w:numPr>
          <w:ilvl w:val="0"/>
          <w:numId w:val="1058"/>
        </w:numPr>
      </w:pPr>
      <w:r>
        <w:t xml:space="preserve">Export- und Löschfrist;</w:t>
      </w:r>
    </w:p>
    <w:p>
      <w:pPr>
        <w:pStyle w:val="Compact"/>
        <w:numPr>
          <w:ilvl w:val="0"/>
          <w:numId w:val="1058"/>
        </w:numPr>
      </w:pPr>
      <w:r>
        <w:t xml:space="preserve">Programmauswirkungen einer SaaS-Sperrung;</w:t>
      </w:r>
    </w:p>
    <w:p>
      <w:pPr>
        <w:pStyle w:val="Compact"/>
        <w:numPr>
          <w:ilvl w:val="0"/>
          <w:numId w:val="1058"/>
        </w:numPr>
      </w:pPr>
      <w:r>
        <w:t xml:space="preserve">Freistellungsklausel;</w:t>
      </w:r>
    </w:p>
    <w:p>
      <w:pPr>
        <w:pStyle w:val="Compact"/>
        <w:numPr>
          <w:ilvl w:val="0"/>
          <w:numId w:val="1058"/>
        </w:numPr>
      </w:pPr>
      <w:r>
        <w:t xml:space="preserve">Drittanbieterhaftung;</w:t>
      </w:r>
    </w:p>
    <w:p>
      <w:pPr>
        <w:pStyle w:val="Compact"/>
        <w:numPr>
          <w:ilvl w:val="0"/>
          <w:numId w:val="1058"/>
        </w:numPr>
      </w:pPr>
      <w:r>
        <w:t xml:space="preserve">Vertragsübertragung;</w:t>
      </w:r>
    </w:p>
    <w:p>
      <w:pPr>
        <w:pStyle w:val="Compact"/>
        <w:numPr>
          <w:ilvl w:val="0"/>
          <w:numId w:val="1058"/>
        </w:numPr>
      </w:pPr>
      <w:r>
        <w:t xml:space="preserve">Indexierung;</w:t>
      </w:r>
    </w:p>
    <w:p>
      <w:pPr>
        <w:pStyle w:val="Compact"/>
        <w:numPr>
          <w:ilvl w:val="0"/>
          <w:numId w:val="1058"/>
        </w:numPr>
      </w:pPr>
      <w:r>
        <w:t xml:space="preserve">Rechtsnatur der Punkte und Rewards;</w:t>
      </w:r>
    </w:p>
    <w:p>
      <w:pPr>
        <w:pStyle w:val="Compact"/>
        <w:numPr>
          <w:ilvl w:val="0"/>
          <w:numId w:val="1058"/>
        </w:numPr>
      </w:pPr>
      <w:r>
        <w:t xml:space="preserve">Verbraucherrechtliche Auswirkungen gegenüber Gästen;</w:t>
      </w:r>
    </w:p>
    <w:p>
      <w:pPr>
        <w:pStyle w:val="Compact"/>
        <w:numPr>
          <w:ilvl w:val="0"/>
          <w:numId w:val="1058"/>
        </w:numPr>
      </w:pPr>
      <w:r>
        <w:t xml:space="preserve">steuerliche Beschreibung des Bonusmodells.</w:t>
      </w:r>
    </w:p>
    <w:p>
      <w:r>
        <w:pict>
          <v:rect style="width:0;height:1.5pt" o:hralign="center" o:hrstd="t" o:hr="t"/>
        </w:pict>
      </w:r>
    </w:p>
    <w:bookmarkEnd w:id="171"/>
    <w:bookmarkStart w:id="172" w:name="freigabestatus"/>
    <w:p>
      <w:pPr>
        <w:pStyle w:val="Heading1"/>
      </w:pPr>
      <w:r>
        <w:t xml:space="preserve">Freigabestatus</w:t>
      </w:r>
    </w:p>
    <w:p>
      <w:pPr>
        <w:pStyle w:val="FirstParagraph"/>
      </w:pPr>
      <w:r>
        <w:rPr>
          <w:b/>
          <w:bCs/>
        </w:rPr>
        <w:t xml:space="preserve">Textentwurf vollständig:</w:t>
      </w:r>
      <w:r>
        <w:t xml:space="preserve"> </w:t>
      </w:r>
      <w:r>
        <w:t xml:space="preserve">Ja</w:t>
      </w:r>
      <w:r>
        <w:br/>
      </w:r>
      <w:r>
        <w:rPr>
          <w:b/>
          <w:bCs/>
        </w:rPr>
        <w:t xml:space="preserve">Unternehmensdaten vollständig:</w:t>
      </w:r>
      <w:r>
        <w:t xml:space="preserve"> </w:t>
      </w:r>
      <w:r>
        <w:t xml:space="preserve">Nein</w:t>
      </w:r>
      <w:r>
        <w:br/>
      </w:r>
      <w:r>
        <w:rPr>
          <w:b/>
          <w:bCs/>
        </w:rPr>
        <w:t xml:space="preserve">Preismodell vollständig:</w:t>
      </w:r>
      <w:r>
        <w:t xml:space="preserve"> </w:t>
      </w:r>
      <w:r>
        <w:t xml:space="preserve">Nein</w:t>
      </w:r>
      <w:r>
        <w:br/>
      </w:r>
      <w:r>
        <w:rPr>
          <w:b/>
          <w:bCs/>
        </w:rPr>
        <w:t xml:space="preserve">SLA integriert:</w:t>
      </w:r>
      <w:r>
        <w:t xml:space="preserve"> </w:t>
      </w:r>
      <w:r>
        <w:t xml:space="preserve">Noch nicht</w:t>
      </w:r>
      <w:r>
        <w:br/>
      </w:r>
      <w:r>
        <w:rPr>
          <w:b/>
          <w:bCs/>
        </w:rPr>
        <w:t xml:space="preserve">AVV integriert:</w:t>
      </w:r>
      <w:r>
        <w:t xml:space="preserve"> </w:t>
      </w:r>
      <w:r>
        <w:t xml:space="preserve">Noch nicht</w:t>
      </w:r>
      <w:r>
        <w:br/>
      </w:r>
      <w:r>
        <w:rPr>
          <w:b/>
          <w:bCs/>
        </w:rPr>
        <w:t xml:space="preserve">Anwaltlich geprüft:</w:t>
      </w:r>
      <w:r>
        <w:t xml:space="preserve"> </w:t>
      </w:r>
      <w:r>
        <w:t xml:space="preserve">Nein</w:t>
      </w:r>
      <w:r>
        <w:br/>
      </w:r>
      <w:r>
        <w:rPr>
          <w:b/>
          <w:bCs/>
        </w:rPr>
        <w:t xml:space="preserve">Steuerlich geprüft:</w:t>
      </w:r>
      <w:r>
        <w:t xml:space="preserve"> </w:t>
      </w:r>
      <w:r>
        <w:t xml:space="preserve">Nein</w:t>
      </w:r>
      <w:r>
        <w:br/>
      </w:r>
      <w:r>
        <w:rPr>
          <w:b/>
          <w:bCs/>
        </w:rPr>
        <w:t xml:space="preserve">Zur Veröffentlichung freigegeben:</w:t>
      </w:r>
      <w:r>
        <w:t xml:space="preserve"> </w:t>
      </w:r>
      <w:r>
        <w:t xml:space="preserve">Nein</w:t>
      </w:r>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2026-07-25T22:52:53Z</dcterms:created>
  <dcterms:modified xsi:type="dcterms:W3CDTF">2026-07-25T22:52:53Z</dcterms:modified>
</cp:coreProperties>
</file>

<file path=docProps/custom.xml><?xml version="1.0" encoding="utf-8"?>
<Properties xmlns="http://schemas.openxmlformats.org/officeDocument/2006/custom-properties" xmlns:vt="http://schemas.openxmlformats.org/officeDocument/2006/docPropsVTypes"/>
</file>