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uxuai-legal-operating-system"/>
    <w:p>
      <w:pPr>
        <w:pStyle w:val="Heading1"/>
      </w:pPr>
      <w:r>
        <w:t xml:space="preserve">WUXUAI Legal Operating System</w:t>
      </w:r>
    </w:p>
    <w:bookmarkStart w:id="20" w:name="X22766c030a1b76ad8f27a79819c53f959074f58"/>
    <w:p>
      <w:pPr>
        <w:pStyle w:val="Heading2"/>
      </w:pPr>
      <w:r>
        <w:t xml:space="preserve">Phase 2.4 – Consent-, Marketing- und Double-Opt-in-Struktur</w:t>
      </w:r>
    </w:p>
    <w:p>
      <w:pPr>
        <w:pStyle w:val="FirstParagraph"/>
      </w:pPr>
      <w:r>
        <w:rPr>
          <w:b/>
          <w:bCs/>
        </w:rPr>
        <w:t xml:space="preserve">Dokumentversion:</w:t>
      </w:r>
      <w:r>
        <w:t xml:space="preserve"> </w:t>
      </w:r>
      <w:r>
        <w:t xml:space="preserve">0.1</w:t>
      </w:r>
      <w:r>
        <w:br/>
      </w:r>
      <w:r>
        <w:rPr>
          <w:b/>
          <w:bCs/>
        </w:rPr>
        <w:t xml:space="preserve">Rechtsraum:</w:t>
      </w:r>
      <w:r>
        <w:t xml:space="preserve"> </w:t>
      </w:r>
      <w:r>
        <w:t xml:space="preserve">Österreich und Europäische Union</w:t>
      </w:r>
      <w:r>
        <w:br/>
      </w:r>
      <w:r>
        <w:rPr>
          <w:b/>
          <w:bCs/>
        </w:rPr>
        <w:t xml:space="preserve">Status:</w:t>
      </w:r>
      <w:r>
        <w:t xml:space="preserve"> </w:t>
      </w:r>
      <w:r>
        <w:t xml:space="preserve">Arbeitsentwurf zur anwaltlichen Prüfung</w:t>
      </w:r>
      <w:r>
        <w:br/>
      </w:r>
      <w:r>
        <w:rPr>
          <w:b/>
          <w:bCs/>
        </w:rPr>
        <w:t xml:space="preserve">Plattformbetreiber:</w:t>
      </w:r>
      <w:r>
        <w:t xml:space="preserve"> </w:t>
      </w:r>
      <w:r>
        <w:t xml:space="preserve">WUXUAI GmbH, Österreich, Gründung geplant</w:t>
      </w:r>
    </w:p>
    <w:p>
      <w:r>
        <w:pict>
          <v:rect style="width:0;height:1.5pt" o:hralign="center" o:hrstd="t" o:hr="t"/>
        </w:pict>
      </w:r>
    </w:p>
    <w:bookmarkEnd w:id="20"/>
    <w:bookmarkEnd w:id="21"/>
    <w:bookmarkStart w:id="22" w:name="zweck"/>
    <w:p>
      <w:pPr>
        <w:pStyle w:val="Heading1"/>
      </w:pPr>
      <w:r>
        <w:t xml:space="preserve">1. Zweck</w:t>
      </w:r>
    </w:p>
    <w:p>
      <w:pPr>
        <w:pStyle w:val="FirstParagraph"/>
      </w:pPr>
      <w:r>
        <w:t xml:space="preserve">Dieses Dokument definiert die verbindliche Soll-Struktur für:</w:t>
      </w:r>
    </w:p>
    <w:p>
      <w:pPr>
        <w:pStyle w:val="Compact"/>
        <w:numPr>
          <w:ilvl w:val="0"/>
          <w:numId w:val="1001"/>
        </w:numPr>
      </w:pPr>
      <w:r>
        <w:t xml:space="preserve">E-Mail-Marketing;</w:t>
      </w:r>
    </w:p>
    <w:p>
      <w:pPr>
        <w:pStyle w:val="Compact"/>
        <w:numPr>
          <w:ilvl w:val="0"/>
          <w:numId w:val="1001"/>
        </w:numPr>
      </w:pPr>
      <w:r>
        <w:t xml:space="preserve">SMS-Marketing;</w:t>
      </w:r>
    </w:p>
    <w:p>
      <w:pPr>
        <w:pStyle w:val="Compact"/>
        <w:numPr>
          <w:ilvl w:val="0"/>
          <w:numId w:val="1001"/>
        </w:numPr>
      </w:pPr>
      <w:r>
        <w:t xml:space="preserve">Push-Benachrichtigungen;</w:t>
      </w:r>
    </w:p>
    <w:p>
      <w:pPr>
        <w:pStyle w:val="Compact"/>
        <w:numPr>
          <w:ilvl w:val="0"/>
          <w:numId w:val="1001"/>
        </w:numPr>
      </w:pPr>
      <w:r>
        <w:t xml:space="preserve">transaktionale Nachrichten;</w:t>
      </w:r>
    </w:p>
    <w:p>
      <w:pPr>
        <w:pStyle w:val="Compact"/>
        <w:numPr>
          <w:ilvl w:val="0"/>
          <w:numId w:val="1001"/>
        </w:numPr>
      </w:pPr>
      <w:r>
        <w:t xml:space="preserve">Standortfreigaben;</w:t>
      </w:r>
    </w:p>
    <w:p>
      <w:pPr>
        <w:pStyle w:val="Compact"/>
        <w:numPr>
          <w:ilvl w:val="0"/>
          <w:numId w:val="1001"/>
        </w:numPr>
      </w:pPr>
      <w:r>
        <w:t xml:space="preserve">Cookie- und Trackingeinwilligungen;</w:t>
      </w:r>
    </w:p>
    <w:p>
      <w:pPr>
        <w:pStyle w:val="Compact"/>
        <w:numPr>
          <w:ilvl w:val="0"/>
          <w:numId w:val="1001"/>
        </w:numPr>
      </w:pPr>
      <w:r>
        <w:t xml:space="preserve">Double-Opt-in;</w:t>
      </w:r>
    </w:p>
    <w:p>
      <w:pPr>
        <w:pStyle w:val="Compact"/>
        <w:numPr>
          <w:ilvl w:val="0"/>
          <w:numId w:val="1001"/>
        </w:numPr>
      </w:pPr>
      <w:r>
        <w:t xml:space="preserve">Widerruf;</w:t>
      </w:r>
    </w:p>
    <w:p>
      <w:pPr>
        <w:pStyle w:val="Compact"/>
        <w:numPr>
          <w:ilvl w:val="0"/>
          <w:numId w:val="1001"/>
        </w:numPr>
      </w:pPr>
      <w:r>
        <w:t xml:space="preserve">Einwilligungsnachweise;</w:t>
      </w:r>
    </w:p>
    <w:p>
      <w:pPr>
        <w:pStyle w:val="Compact"/>
        <w:numPr>
          <w:ilvl w:val="0"/>
          <w:numId w:val="1001"/>
        </w:numPr>
      </w:pPr>
      <w:r>
        <w:t xml:space="preserve">Sperrlisten;</w:t>
      </w:r>
    </w:p>
    <w:p>
      <w:pPr>
        <w:pStyle w:val="Compact"/>
        <w:numPr>
          <w:ilvl w:val="0"/>
          <w:numId w:val="1001"/>
        </w:numPr>
      </w:pPr>
      <w:r>
        <w:t xml:space="preserve">restaurantbezogene Mandantentrennung;</w:t>
      </w:r>
    </w:p>
    <w:p>
      <w:pPr>
        <w:pStyle w:val="Compact"/>
        <w:numPr>
          <w:ilvl w:val="0"/>
          <w:numId w:val="1001"/>
        </w:numPr>
      </w:pPr>
      <w:r>
        <w:t xml:space="preserve">technische Versand-Gates.</w:t>
      </w:r>
    </w:p>
    <w:p>
      <w:pPr>
        <w:pStyle w:val="FirstParagraph"/>
      </w:pPr>
      <w:r>
        <w:t xml:space="preserve">Es bildet später die Grundlage für:</w:t>
      </w:r>
    </w:p>
    <w:p>
      <w:pPr>
        <w:pStyle w:val="Compact"/>
        <w:numPr>
          <w:ilvl w:val="0"/>
          <w:numId w:val="1002"/>
        </w:numPr>
      </w:pPr>
      <w:r>
        <w:t xml:space="preserve">Rechtstexte;</w:t>
      </w:r>
    </w:p>
    <w:p>
      <w:pPr>
        <w:pStyle w:val="Compact"/>
        <w:numPr>
          <w:ilvl w:val="0"/>
          <w:numId w:val="1002"/>
        </w:numPr>
      </w:pPr>
      <w:r>
        <w:t xml:space="preserve">Datenbanktabellen;</w:t>
      </w:r>
    </w:p>
    <w:p>
      <w:pPr>
        <w:pStyle w:val="Compact"/>
        <w:numPr>
          <w:ilvl w:val="0"/>
          <w:numId w:val="1002"/>
        </w:numPr>
      </w:pPr>
      <w:r>
        <w:t xml:space="preserve">Edge Functions;</w:t>
      </w:r>
    </w:p>
    <w:p>
      <w:pPr>
        <w:pStyle w:val="Compact"/>
        <w:numPr>
          <w:ilvl w:val="0"/>
          <w:numId w:val="1002"/>
        </w:numPr>
      </w:pPr>
      <w:r>
        <w:t xml:space="preserve">Nachrichtendienste;</w:t>
      </w:r>
    </w:p>
    <w:p>
      <w:pPr>
        <w:pStyle w:val="Compact"/>
        <w:numPr>
          <w:ilvl w:val="0"/>
          <w:numId w:val="1002"/>
        </w:numPr>
      </w:pPr>
      <w:r>
        <w:t xml:space="preserve">Owner-Einstellungen;</w:t>
      </w:r>
    </w:p>
    <w:p>
      <w:pPr>
        <w:pStyle w:val="Compact"/>
        <w:numPr>
          <w:ilvl w:val="0"/>
          <w:numId w:val="1002"/>
        </w:numPr>
      </w:pPr>
      <w:r>
        <w:t xml:space="preserve">Kunden-Consent-Center;</w:t>
      </w:r>
    </w:p>
    <w:p>
      <w:pPr>
        <w:pStyle w:val="Compact"/>
        <w:numPr>
          <w:ilvl w:val="0"/>
          <w:numId w:val="1002"/>
        </w:numPr>
      </w:pPr>
      <w:r>
        <w:t xml:space="preserve">Audit-Logs;</w:t>
      </w:r>
    </w:p>
    <w:p>
      <w:pPr>
        <w:pStyle w:val="Compact"/>
        <w:numPr>
          <w:ilvl w:val="0"/>
          <w:numId w:val="1002"/>
        </w:numPr>
      </w:pPr>
      <w:r>
        <w:t xml:space="preserve">Codex-Implementierung;</w:t>
      </w:r>
    </w:p>
    <w:p>
      <w:pPr>
        <w:pStyle w:val="Compact"/>
        <w:numPr>
          <w:ilvl w:val="0"/>
          <w:numId w:val="1002"/>
        </w:numPr>
      </w:pPr>
      <w:r>
        <w:t xml:space="preserve">anwaltliche Freigabe.</w:t>
      </w:r>
    </w:p>
    <w:p>
      <w:r>
        <w:pict>
          <v:rect style="width:0;height:1.5pt" o:hralign="center" o:hrstd="t" o:hr="t"/>
        </w:pict>
      </w:r>
    </w:p>
    <w:bookmarkEnd w:id="22"/>
    <w:bookmarkStart w:id="30" w:name="grundprinzipien"/>
    <w:p>
      <w:pPr>
        <w:pStyle w:val="Heading1"/>
      </w:pPr>
      <w:r>
        <w:t xml:space="preserve">2. Grundprinzipien</w:t>
      </w:r>
    </w:p>
    <w:bookmarkStart w:id="23" w:name="freiwilligkeit"/>
    <w:p>
      <w:pPr>
        <w:pStyle w:val="Heading2"/>
      </w:pPr>
      <w:r>
        <w:t xml:space="preserve">2.1 Freiwilligkeit</w:t>
      </w:r>
    </w:p>
    <w:p>
      <w:pPr>
        <w:pStyle w:val="FirstParagraph"/>
      </w:pPr>
      <w:r>
        <w:t xml:space="preserve">Die Teilnahme am Restaurant-Bonusprogramm darf grundsätzlich nicht davon abhängig gemacht werden, dass der Gast Werbung per E-Mail, SMS oder Push akzeptiert.</w:t>
      </w:r>
    </w:p>
    <w:p>
      <w:pPr>
        <w:pStyle w:val="BodyText"/>
      </w:pPr>
      <w:r>
        <w:t xml:space="preserve">Folgende Vorgänge müssen auch ohne Marketingeinwilligung möglich bleiben:</w:t>
      </w:r>
    </w:p>
    <w:p>
      <w:pPr>
        <w:pStyle w:val="Compact"/>
        <w:numPr>
          <w:ilvl w:val="0"/>
          <w:numId w:val="1003"/>
        </w:numPr>
      </w:pPr>
      <w:r>
        <w:t xml:space="preserve">Registrierung;</w:t>
      </w:r>
    </w:p>
    <w:p>
      <w:pPr>
        <w:pStyle w:val="Compact"/>
        <w:numPr>
          <w:ilvl w:val="0"/>
          <w:numId w:val="1003"/>
        </w:numPr>
      </w:pPr>
      <w:r>
        <w:t xml:space="preserve">Punkte sammeln;</w:t>
      </w:r>
    </w:p>
    <w:p>
      <w:pPr>
        <w:pStyle w:val="Compact"/>
        <w:numPr>
          <w:ilvl w:val="0"/>
          <w:numId w:val="1003"/>
        </w:numPr>
      </w:pPr>
      <w:r>
        <w:t xml:space="preserve">Punktestand einsehen;</w:t>
      </w:r>
    </w:p>
    <w:p>
      <w:pPr>
        <w:pStyle w:val="Compact"/>
        <w:numPr>
          <w:ilvl w:val="0"/>
          <w:numId w:val="1003"/>
        </w:numPr>
      </w:pPr>
      <w:r>
        <w:t xml:space="preserve">Rewards einsehen;</w:t>
      </w:r>
    </w:p>
    <w:p>
      <w:pPr>
        <w:pStyle w:val="Compact"/>
        <w:numPr>
          <w:ilvl w:val="0"/>
          <w:numId w:val="1003"/>
        </w:numPr>
      </w:pPr>
      <w:r>
        <w:t xml:space="preserve">Rewards einlösen;</w:t>
      </w:r>
    </w:p>
    <w:p>
      <w:pPr>
        <w:pStyle w:val="Compact"/>
        <w:numPr>
          <w:ilvl w:val="0"/>
          <w:numId w:val="1003"/>
        </w:numPr>
      </w:pPr>
      <w:r>
        <w:t xml:space="preserve">Teilnahmebedingungen öffnen;</w:t>
      </w:r>
    </w:p>
    <w:p>
      <w:pPr>
        <w:pStyle w:val="Compact"/>
        <w:numPr>
          <w:ilvl w:val="0"/>
          <w:numId w:val="1003"/>
        </w:numPr>
      </w:pPr>
      <w:r>
        <w:t xml:space="preserve">Datenschutzinformationen öffnen;</w:t>
      </w:r>
    </w:p>
    <w:p>
      <w:pPr>
        <w:pStyle w:val="Compact"/>
        <w:numPr>
          <w:ilvl w:val="0"/>
          <w:numId w:val="1003"/>
        </w:numPr>
      </w:pPr>
      <w:r>
        <w:t xml:space="preserve">Datenexport beantragen;</w:t>
      </w:r>
    </w:p>
    <w:p>
      <w:pPr>
        <w:pStyle w:val="Compact"/>
        <w:numPr>
          <w:ilvl w:val="0"/>
          <w:numId w:val="1003"/>
        </w:numPr>
      </w:pPr>
      <w:r>
        <w:t xml:space="preserve">Löschung beantragen;</w:t>
      </w:r>
    </w:p>
    <w:p>
      <w:pPr>
        <w:pStyle w:val="Compact"/>
        <w:numPr>
          <w:ilvl w:val="0"/>
          <w:numId w:val="1003"/>
        </w:numPr>
      </w:pPr>
      <w:r>
        <w:t xml:space="preserve">Marketingeinwilligung widerrufen.</w:t>
      </w:r>
    </w:p>
    <w:bookmarkEnd w:id="23"/>
    <w:bookmarkStart w:id="24" w:name="kanaltrennung"/>
    <w:p>
      <w:pPr>
        <w:pStyle w:val="Heading2"/>
      </w:pPr>
      <w:r>
        <w:t xml:space="preserve">2.2 Kanaltrennung</w:t>
      </w:r>
    </w:p>
    <w:p>
      <w:pPr>
        <w:pStyle w:val="FirstParagraph"/>
      </w:pPr>
      <w:r>
        <w:t xml:space="preserve">Jeder Kommunikationskanal benötigt eine eigene Entscheidung.</w:t>
      </w:r>
    </w:p>
    <w:p>
      <w:pPr>
        <w:pStyle w:val="BodyText"/>
      </w:pPr>
      <w:r>
        <w:t xml:space="preserve">Unzulässig ist eine gemeinsame Checkbox wie:</w:t>
      </w:r>
    </w:p>
    <w:p>
      <w:pPr>
        <w:pStyle w:val="BlockText"/>
      </w:pPr>
      <w:r>
        <w:t xml:space="preserve">Ich möchte E-Mails, SMS und Push-Nachrichten erhalten.</w:t>
      </w:r>
    </w:p>
    <w:p>
      <w:pPr>
        <w:pStyle w:val="FirstParagraph"/>
      </w:pPr>
      <w:r>
        <w:t xml:space="preserve">Stattdessen werden getrennte Auswahlmöglichkeiten verwendet:</w:t>
      </w:r>
    </w:p>
    <w:p>
      <w:pPr>
        <w:pStyle w:val="Compact"/>
        <w:numPr>
          <w:ilvl w:val="0"/>
          <w:numId w:val="1004"/>
        </w:numPr>
      </w:pPr>
      <w:r>
        <w:t xml:space="preserve">E-Mail;</w:t>
      </w:r>
    </w:p>
    <w:p>
      <w:pPr>
        <w:pStyle w:val="Compact"/>
        <w:numPr>
          <w:ilvl w:val="0"/>
          <w:numId w:val="1004"/>
        </w:numPr>
      </w:pPr>
      <w:r>
        <w:t xml:space="preserve">SMS;</w:t>
      </w:r>
    </w:p>
    <w:p>
      <w:pPr>
        <w:pStyle w:val="Compact"/>
        <w:numPr>
          <w:ilvl w:val="0"/>
          <w:numId w:val="1004"/>
        </w:numPr>
      </w:pPr>
      <w:r>
        <w:t xml:space="preserve">Push.</w:t>
      </w:r>
    </w:p>
    <w:bookmarkEnd w:id="24"/>
    <w:bookmarkStart w:id="25" w:name="zwecktrennung"/>
    <w:p>
      <w:pPr>
        <w:pStyle w:val="Heading2"/>
      </w:pPr>
      <w:r>
        <w:t xml:space="preserve">2.3 Zwecktrennung</w:t>
      </w:r>
    </w:p>
    <w:p>
      <w:pPr>
        <w:pStyle w:val="FirstParagraph"/>
      </w:pPr>
      <w:r>
        <w:t xml:space="preserve">Auch innerhalb eines Kanals müssen Zwecke getrennt werden, wenn sie inhaltlich wesentlich verschieden sind.</w:t>
      </w:r>
    </w:p>
    <w:p>
      <w:pPr>
        <w:pStyle w:val="BodyText"/>
      </w:pPr>
      <w:r>
        <w:t xml:space="preserve">Mögliche Zweckgruppen:</w:t>
      </w:r>
    </w:p>
    <w:p>
      <w:pPr>
        <w:pStyle w:val="Compact"/>
        <w:numPr>
          <w:ilvl w:val="0"/>
          <w:numId w:val="1005"/>
        </w:numPr>
      </w:pPr>
      <w:r>
        <w:t xml:space="preserve">allgemeine Restaurantangebote;</w:t>
      </w:r>
    </w:p>
    <w:p>
      <w:pPr>
        <w:pStyle w:val="Compact"/>
        <w:numPr>
          <w:ilvl w:val="0"/>
          <w:numId w:val="1005"/>
        </w:numPr>
      </w:pPr>
      <w:r>
        <w:t xml:space="preserve">Reward-Erinnerungen;</w:t>
      </w:r>
    </w:p>
    <w:p>
      <w:pPr>
        <w:pStyle w:val="Compact"/>
        <w:numPr>
          <w:ilvl w:val="0"/>
          <w:numId w:val="1005"/>
        </w:numPr>
      </w:pPr>
      <w:r>
        <w:t xml:space="preserve">Punkteverfall;</w:t>
      </w:r>
    </w:p>
    <w:p>
      <w:pPr>
        <w:pStyle w:val="Compact"/>
        <w:numPr>
          <w:ilvl w:val="0"/>
          <w:numId w:val="1005"/>
        </w:numPr>
      </w:pPr>
      <w:r>
        <w:t xml:space="preserve">Geburtstagsangebote;</w:t>
      </w:r>
    </w:p>
    <w:p>
      <w:pPr>
        <w:pStyle w:val="Compact"/>
        <w:numPr>
          <w:ilvl w:val="0"/>
          <w:numId w:val="1005"/>
        </w:numPr>
      </w:pPr>
      <w:r>
        <w:t xml:space="preserve">Bonus-Boost;</w:t>
      </w:r>
    </w:p>
    <w:p>
      <w:pPr>
        <w:pStyle w:val="Compact"/>
        <w:numPr>
          <w:ilvl w:val="0"/>
          <w:numId w:val="1005"/>
        </w:numPr>
      </w:pPr>
      <w:r>
        <w:t xml:space="preserve">Veranstaltungsinformationen;</w:t>
      </w:r>
    </w:p>
    <w:p>
      <w:pPr>
        <w:pStyle w:val="Compact"/>
        <w:numPr>
          <w:ilvl w:val="0"/>
          <w:numId w:val="1005"/>
        </w:numPr>
      </w:pPr>
      <w:r>
        <w:t xml:space="preserve">Produktneuigkeiten;</w:t>
      </w:r>
    </w:p>
    <w:p>
      <w:pPr>
        <w:pStyle w:val="Compact"/>
        <w:numPr>
          <w:ilvl w:val="0"/>
          <w:numId w:val="1005"/>
        </w:numPr>
      </w:pPr>
      <w:r>
        <w:t xml:space="preserve">WUXUAI-Plattforminformationen.</w:t>
      </w:r>
    </w:p>
    <w:p>
      <w:pPr>
        <w:pStyle w:val="FirstParagraph"/>
      </w:pPr>
      <w:r>
        <w:t xml:space="preserve">Für V1 soll die Anzahl der Zwecke gering bleiben. Empfohlen werden:</w:t>
      </w:r>
    </w:p>
    <w:p>
      <w:pPr>
        <w:pStyle w:val="Compact"/>
        <w:numPr>
          <w:ilvl w:val="0"/>
          <w:numId w:val="1006"/>
        </w:numPr>
      </w:pPr>
      <w:r>
        <w:t xml:space="preserve">Pflichtinformationen zum Konto und Bonusprogramm;</w:t>
      </w:r>
    </w:p>
    <w:p>
      <w:pPr>
        <w:pStyle w:val="Compact"/>
        <w:numPr>
          <w:ilvl w:val="0"/>
          <w:numId w:val="1006"/>
        </w:numPr>
      </w:pPr>
      <w:r>
        <w:t xml:space="preserve">freiwillige Angebote und Aktionen des Restaurants.</w:t>
      </w:r>
    </w:p>
    <w:bookmarkEnd w:id="25"/>
    <w:bookmarkStart w:id="26" w:name="restaurantbezug"/>
    <w:p>
      <w:pPr>
        <w:pStyle w:val="Heading2"/>
      </w:pPr>
      <w:r>
        <w:t xml:space="preserve">2.4 Restaurantbezug</w:t>
      </w:r>
    </w:p>
    <w:p>
      <w:pPr>
        <w:pStyle w:val="FirstParagraph"/>
      </w:pPr>
      <w:r>
        <w:t xml:space="preserve">Ein Consent gilt ausschließlich für das Restaurant beziehungsweise Restaurantunternehmen, für das er ausdrücklich erteilt wurde.</w:t>
      </w:r>
    </w:p>
    <w:p>
      <w:pPr>
        <w:pStyle w:val="BodyText"/>
      </w:pPr>
      <w:r>
        <w:t xml:space="preserve">Eine Einwilligung für Restaurant A darf nicht verwendet werden für:</w:t>
      </w:r>
    </w:p>
    <w:p>
      <w:pPr>
        <w:pStyle w:val="Compact"/>
        <w:numPr>
          <w:ilvl w:val="0"/>
          <w:numId w:val="1007"/>
        </w:numPr>
      </w:pPr>
      <w:r>
        <w:t xml:space="preserve">Restaurant B;</w:t>
      </w:r>
    </w:p>
    <w:p>
      <w:pPr>
        <w:pStyle w:val="Compact"/>
        <w:numPr>
          <w:ilvl w:val="0"/>
          <w:numId w:val="1007"/>
        </w:numPr>
      </w:pPr>
      <w:r>
        <w:t xml:space="preserve">andere Marken;</w:t>
      </w:r>
    </w:p>
    <w:p>
      <w:pPr>
        <w:pStyle w:val="Compact"/>
        <w:numPr>
          <w:ilvl w:val="0"/>
          <w:numId w:val="1007"/>
        </w:numPr>
      </w:pPr>
      <w:r>
        <w:t xml:space="preserve">andere Gesellschaften;</w:t>
      </w:r>
    </w:p>
    <w:p>
      <w:pPr>
        <w:pStyle w:val="Compact"/>
        <w:numPr>
          <w:ilvl w:val="0"/>
          <w:numId w:val="1007"/>
        </w:numPr>
      </w:pPr>
      <w:r>
        <w:t xml:space="preserve">WUXUAI-eigene Werbung;</w:t>
      </w:r>
    </w:p>
    <w:p>
      <w:pPr>
        <w:pStyle w:val="Compact"/>
        <w:numPr>
          <w:ilvl w:val="0"/>
          <w:numId w:val="1007"/>
        </w:numPr>
      </w:pPr>
      <w:r>
        <w:t xml:space="preserve">Partnerunternehmen;</w:t>
      </w:r>
    </w:p>
    <w:p>
      <w:pPr>
        <w:pStyle w:val="Compact"/>
        <w:numPr>
          <w:ilvl w:val="0"/>
          <w:numId w:val="1007"/>
        </w:numPr>
      </w:pPr>
      <w:r>
        <w:t xml:space="preserve">nicht eindeutig benannte Dritte.</w:t>
      </w:r>
    </w:p>
    <w:p>
      <w:pPr>
        <w:pStyle w:val="FirstParagraph"/>
      </w:pPr>
      <w:r>
        <w:t xml:space="preserve">Bei einem Unternehmen mit mehreren Filialen darf ein Consent unternehmensweit gelten, wenn:</w:t>
      </w:r>
    </w:p>
    <w:p>
      <w:pPr>
        <w:pStyle w:val="Compact"/>
        <w:numPr>
          <w:ilvl w:val="0"/>
          <w:numId w:val="1008"/>
        </w:numPr>
      </w:pPr>
      <w:r>
        <w:t xml:space="preserve">derselbe Rechtsträger Verantwortlicher ist;</w:t>
      </w:r>
    </w:p>
    <w:p>
      <w:pPr>
        <w:pStyle w:val="Compact"/>
        <w:numPr>
          <w:ilvl w:val="0"/>
          <w:numId w:val="1008"/>
        </w:numPr>
      </w:pPr>
      <w:r>
        <w:t xml:space="preserve">dies im Einwilligungstext klar erklärt wird;</w:t>
      </w:r>
    </w:p>
    <w:p>
      <w:pPr>
        <w:pStyle w:val="Compact"/>
        <w:numPr>
          <w:ilvl w:val="0"/>
          <w:numId w:val="1008"/>
        </w:numPr>
      </w:pPr>
      <w:r>
        <w:t xml:space="preserve">die betreffenden Marken oder Filialen ausreichend bestimmbar sind;</w:t>
      </w:r>
    </w:p>
    <w:p>
      <w:pPr>
        <w:pStyle w:val="Compact"/>
        <w:numPr>
          <w:ilvl w:val="0"/>
          <w:numId w:val="1008"/>
        </w:numPr>
      </w:pPr>
      <w:r>
        <w:t xml:space="preserve">der Gast die Reichweite vor Zustimmung erkennen kann.</w:t>
      </w:r>
    </w:p>
    <w:bookmarkEnd w:id="26"/>
    <w:bookmarkStart w:id="27" w:name="keine-vorausgewählten-felder"/>
    <w:p>
      <w:pPr>
        <w:pStyle w:val="Heading2"/>
      </w:pPr>
      <w:r>
        <w:t xml:space="preserve">2.5 Keine vorausgewählten Felder</w:t>
      </w:r>
    </w:p>
    <w:p>
      <w:pPr>
        <w:pStyle w:val="FirstParagraph"/>
      </w:pPr>
      <w:r>
        <w:t xml:space="preserve">Marketingcheckboxen sind standardmäßig deaktiviert.</w:t>
      </w:r>
    </w:p>
    <w:p>
      <w:pPr>
        <w:pStyle w:val="BodyText"/>
      </w:pPr>
      <w:r>
        <w:t xml:space="preserve">Unzulässig:</w:t>
      </w:r>
    </w:p>
    <w:p>
      <w:pPr>
        <w:pStyle w:val="SourceCode"/>
      </w:pPr>
      <w:r>
        <w:rPr>
          <w:rStyle w:val="VerbatimChar"/>
        </w:rPr>
        <w:t xml:space="preserve">[x] Ich möchte Angebote erhalten.</w:t>
      </w:r>
    </w:p>
    <w:p>
      <w:pPr>
        <w:pStyle w:val="FirstParagraph"/>
      </w:pPr>
      <w:r>
        <w:t xml:space="preserve">Zulässig:</w:t>
      </w:r>
    </w:p>
    <w:p>
      <w:pPr>
        <w:pStyle w:val="SourceCode"/>
      </w:pPr>
      <w:r>
        <w:rPr>
          <w:rStyle w:val="VerbatimChar"/>
        </w:rPr>
        <w:t xml:space="preserve">[ ] Ich möchte Angebote erhalten.</w:t>
      </w:r>
    </w:p>
    <w:bookmarkEnd w:id="27"/>
    <w:bookmarkStart w:id="28" w:name="nachweisbarkeit"/>
    <w:p>
      <w:pPr>
        <w:pStyle w:val="Heading2"/>
      </w:pPr>
      <w:r>
        <w:t xml:space="preserve">2.6 Nachweisbarkeit</w:t>
      </w:r>
    </w:p>
    <w:p>
      <w:pPr>
        <w:pStyle w:val="FirstParagraph"/>
      </w:pPr>
      <w:r>
        <w:t xml:space="preserve">Der Verantwortliche muss nachweisen können:</w:t>
      </w:r>
    </w:p>
    <w:p>
      <w:pPr>
        <w:pStyle w:val="Compact"/>
        <w:numPr>
          <w:ilvl w:val="0"/>
          <w:numId w:val="1009"/>
        </w:numPr>
      </w:pPr>
      <w:r>
        <w:t xml:space="preserve">welcher Gast;</w:t>
      </w:r>
    </w:p>
    <w:p>
      <w:pPr>
        <w:pStyle w:val="Compact"/>
        <w:numPr>
          <w:ilvl w:val="0"/>
          <w:numId w:val="1009"/>
        </w:numPr>
      </w:pPr>
      <w:r>
        <w:t xml:space="preserve">welchem Restaurant;</w:t>
      </w:r>
    </w:p>
    <w:p>
      <w:pPr>
        <w:pStyle w:val="Compact"/>
        <w:numPr>
          <w:ilvl w:val="0"/>
          <w:numId w:val="1009"/>
        </w:numPr>
      </w:pPr>
      <w:r>
        <w:t xml:space="preserve">für welchen Kanal;</w:t>
      </w:r>
    </w:p>
    <w:p>
      <w:pPr>
        <w:pStyle w:val="Compact"/>
        <w:numPr>
          <w:ilvl w:val="0"/>
          <w:numId w:val="1009"/>
        </w:numPr>
      </w:pPr>
      <w:r>
        <w:t xml:space="preserve">für welchen Zweck;</w:t>
      </w:r>
    </w:p>
    <w:p>
      <w:pPr>
        <w:pStyle w:val="Compact"/>
        <w:numPr>
          <w:ilvl w:val="0"/>
          <w:numId w:val="1009"/>
        </w:numPr>
      </w:pPr>
      <w:r>
        <w:t xml:space="preserve">welchem Wortlaut;</w:t>
      </w:r>
    </w:p>
    <w:p>
      <w:pPr>
        <w:pStyle w:val="Compact"/>
        <w:numPr>
          <w:ilvl w:val="0"/>
          <w:numId w:val="1009"/>
        </w:numPr>
      </w:pPr>
      <w:r>
        <w:t xml:space="preserve">zu welchem Zeitpunkt;</w:t>
      </w:r>
    </w:p>
    <w:p>
      <w:pPr>
        <w:pStyle w:val="Compact"/>
        <w:numPr>
          <w:ilvl w:val="0"/>
          <w:numId w:val="1009"/>
        </w:numPr>
      </w:pPr>
      <w:r>
        <w:t xml:space="preserve">über welche Quelle;</w:t>
      </w:r>
    </w:p>
    <w:p>
      <w:pPr>
        <w:pStyle w:val="Compact"/>
        <w:numPr>
          <w:ilvl w:val="0"/>
          <w:numId w:val="1009"/>
        </w:numPr>
      </w:pPr>
      <w:r>
        <w:t xml:space="preserve">in welcher Sprache;</w:t>
      </w:r>
    </w:p>
    <w:p>
      <w:pPr>
        <w:pStyle w:val="Compact"/>
        <w:numPr>
          <w:ilvl w:val="0"/>
          <w:numId w:val="1009"/>
        </w:numPr>
      </w:pPr>
      <w:r>
        <w:t xml:space="preserve">mit welchem Bestätigungsverfahren</w:t>
      </w:r>
    </w:p>
    <w:p>
      <w:pPr>
        <w:pStyle w:val="FirstParagraph"/>
      </w:pPr>
      <w:r>
        <w:t xml:space="preserve">zugestimmt hat.</w:t>
      </w:r>
    </w:p>
    <w:bookmarkEnd w:id="28"/>
    <w:bookmarkStart w:id="29" w:name="einfacher-widerruf"/>
    <w:p>
      <w:pPr>
        <w:pStyle w:val="Heading2"/>
      </w:pPr>
      <w:r>
        <w:t xml:space="preserve">2.7 Einfacher Widerruf</w:t>
      </w:r>
    </w:p>
    <w:p>
      <w:pPr>
        <w:pStyle w:val="FirstParagraph"/>
      </w:pPr>
      <w:r>
        <w:t xml:space="preserve">Der Widerruf muss mindestens genauso einfach sein wie die Erteilung.</w:t>
      </w:r>
    </w:p>
    <w:p>
      <w:pPr>
        <w:pStyle w:val="BodyText"/>
      </w:pPr>
      <w:r>
        <w:t xml:space="preserve">Mögliche Widerrufswege:</w:t>
      </w:r>
    </w:p>
    <w:p>
      <w:pPr>
        <w:pStyle w:val="Compact"/>
        <w:numPr>
          <w:ilvl w:val="0"/>
          <w:numId w:val="1010"/>
        </w:numPr>
      </w:pPr>
      <w:r>
        <w:t xml:space="preserve">Consent Center im Kundenkonto;</w:t>
      </w:r>
    </w:p>
    <w:p>
      <w:pPr>
        <w:pStyle w:val="Compact"/>
        <w:numPr>
          <w:ilvl w:val="0"/>
          <w:numId w:val="1010"/>
        </w:numPr>
      </w:pPr>
      <w:r>
        <w:t xml:space="preserve">Abmeldelink in jeder E-Mail;</w:t>
      </w:r>
    </w:p>
    <w:p>
      <w:pPr>
        <w:pStyle w:val="Compact"/>
        <w:numPr>
          <w:ilvl w:val="0"/>
          <w:numId w:val="1010"/>
        </w:numPr>
      </w:pPr>
      <w:r>
        <w:t xml:space="preserve">Antwort mit einem definierten SMS-Schlüsselwort;</w:t>
      </w:r>
    </w:p>
    <w:p>
      <w:pPr>
        <w:pStyle w:val="Compact"/>
        <w:numPr>
          <w:ilvl w:val="0"/>
          <w:numId w:val="1010"/>
        </w:numPr>
      </w:pPr>
      <w:r>
        <w:t xml:space="preserve">Deaktivierung im Push-Bereich;</w:t>
      </w:r>
    </w:p>
    <w:p>
      <w:pPr>
        <w:pStyle w:val="Compact"/>
        <w:numPr>
          <w:ilvl w:val="0"/>
          <w:numId w:val="1010"/>
        </w:numPr>
      </w:pPr>
      <w:r>
        <w:t xml:space="preserve">Kontakt an das Restaurant;</w:t>
      </w:r>
    </w:p>
    <w:p>
      <w:pPr>
        <w:pStyle w:val="Compact"/>
        <w:numPr>
          <w:ilvl w:val="0"/>
          <w:numId w:val="1010"/>
        </w:numPr>
      </w:pPr>
      <w:r>
        <w:t xml:space="preserve">technischer Opt-out-Link ohne Login, sofern sicher umgesetzt.</w:t>
      </w:r>
    </w:p>
    <w:p>
      <w:pPr>
        <w:pStyle w:val="FirstParagraph"/>
      </w:pPr>
      <w:r>
        <w:t xml:space="preserve">Der Widerruf darf nicht:</w:t>
      </w:r>
    </w:p>
    <w:p>
      <w:pPr>
        <w:pStyle w:val="Compact"/>
        <w:numPr>
          <w:ilvl w:val="0"/>
          <w:numId w:val="1011"/>
        </w:numPr>
      </w:pPr>
      <w:r>
        <w:t xml:space="preserve">die Löschung des gesamten Kontos voraussetzen;</w:t>
      </w:r>
    </w:p>
    <w:p>
      <w:pPr>
        <w:pStyle w:val="Compact"/>
        <w:numPr>
          <w:ilvl w:val="0"/>
          <w:numId w:val="1011"/>
        </w:numPr>
      </w:pPr>
      <w:r>
        <w:t xml:space="preserve">einen Anruf erfordern, wenn die Einwilligung online erteilt wurde;</w:t>
      </w:r>
    </w:p>
    <w:p>
      <w:pPr>
        <w:pStyle w:val="Compact"/>
        <w:numPr>
          <w:ilvl w:val="0"/>
          <w:numId w:val="1011"/>
        </w:numPr>
      </w:pPr>
      <w:r>
        <w:t xml:space="preserve">versteckt sein;</w:t>
      </w:r>
    </w:p>
    <w:p>
      <w:pPr>
        <w:pStyle w:val="Compact"/>
        <w:numPr>
          <w:ilvl w:val="0"/>
          <w:numId w:val="1011"/>
        </w:numPr>
      </w:pPr>
      <w:r>
        <w:t xml:space="preserve">zusätzliche Gebühren verursachen;</w:t>
      </w:r>
    </w:p>
    <w:p>
      <w:pPr>
        <w:pStyle w:val="Compact"/>
        <w:numPr>
          <w:ilvl w:val="0"/>
          <w:numId w:val="1011"/>
        </w:numPr>
      </w:pPr>
      <w:r>
        <w:t xml:space="preserve">den Punktestand oder vorhandene Rewards löschen.</w:t>
      </w:r>
    </w:p>
    <w:p>
      <w:r>
        <w:pict>
          <v:rect style="width:0;height:1.5pt" o:hralign="center" o:hrstd="t" o:hr="t"/>
        </w:pict>
      </w:r>
    </w:p>
    <w:bookmarkEnd w:id="29"/>
    <w:bookmarkEnd w:id="30"/>
    <w:bookmarkStart w:id="34" w:name="nachrichtentypen"/>
    <w:p>
      <w:pPr>
        <w:pStyle w:val="Heading1"/>
      </w:pPr>
      <w:r>
        <w:t xml:space="preserve">3. Nachrichtentypen</w:t>
      </w:r>
    </w:p>
    <w:bookmarkStart w:id="31" w:name="X6815e3c37899aae0f1c976d7edab7a4b132acaf"/>
    <w:p>
      <w:pPr>
        <w:pStyle w:val="Heading2"/>
      </w:pPr>
      <w:r>
        <w:t xml:space="preserve">3.1 Transaktionale beziehungsweise erforderliche Nachrichten</w:t>
      </w:r>
    </w:p>
    <w:p>
      <w:pPr>
        <w:pStyle w:val="FirstParagraph"/>
      </w:pPr>
      <w:r>
        <w:t xml:space="preserve">Diese Nachrichten dienen unmittelbar der Durchführung oder Sicherheit des Bonusprogramms.</w:t>
      </w:r>
    </w:p>
    <w:p>
      <w:pPr>
        <w:pStyle w:val="BodyText"/>
      </w:pPr>
      <w:r>
        <w:t xml:space="preserve">Beispiele:</w:t>
      </w:r>
    </w:p>
    <w:p>
      <w:pPr>
        <w:pStyle w:val="Compact"/>
        <w:numPr>
          <w:ilvl w:val="0"/>
          <w:numId w:val="1012"/>
        </w:numPr>
      </w:pPr>
      <w:r>
        <w:t xml:space="preserve">Bestätigung der Registrierung;</w:t>
      </w:r>
    </w:p>
    <w:p>
      <w:pPr>
        <w:pStyle w:val="Compact"/>
        <w:numPr>
          <w:ilvl w:val="0"/>
          <w:numId w:val="1012"/>
        </w:numPr>
      </w:pPr>
      <w:r>
        <w:t xml:space="preserve">Bestätigung einer E-Mail-Adresse;</w:t>
      </w:r>
    </w:p>
    <w:p>
      <w:pPr>
        <w:pStyle w:val="Compact"/>
        <w:numPr>
          <w:ilvl w:val="0"/>
          <w:numId w:val="1012"/>
        </w:numPr>
      </w:pPr>
      <w:r>
        <w:t xml:space="preserve">Sicherheitswarnung;</w:t>
      </w:r>
    </w:p>
    <w:p>
      <w:pPr>
        <w:pStyle w:val="Compact"/>
        <w:numPr>
          <w:ilvl w:val="0"/>
          <w:numId w:val="1012"/>
        </w:numPr>
      </w:pPr>
      <w:r>
        <w:t xml:space="preserve">Passwort-Reset für Owner;</w:t>
      </w:r>
    </w:p>
    <w:p>
      <w:pPr>
        <w:pStyle w:val="Compact"/>
        <w:numPr>
          <w:ilvl w:val="0"/>
          <w:numId w:val="1012"/>
        </w:numPr>
      </w:pPr>
      <w:r>
        <w:t xml:space="preserve">Datenschutzexport bereit;</w:t>
      </w:r>
    </w:p>
    <w:p>
      <w:pPr>
        <w:pStyle w:val="Compact"/>
        <w:numPr>
          <w:ilvl w:val="0"/>
          <w:numId w:val="1012"/>
        </w:numPr>
      </w:pPr>
      <w:r>
        <w:t xml:space="preserve">Löschanfrage erhalten;</w:t>
      </w:r>
    </w:p>
    <w:p>
      <w:pPr>
        <w:pStyle w:val="Compact"/>
        <w:numPr>
          <w:ilvl w:val="0"/>
          <w:numId w:val="1012"/>
        </w:numPr>
      </w:pPr>
      <w:r>
        <w:t xml:space="preserve">Änderung wesentlicher Teilnahmebedingungen;</w:t>
      </w:r>
    </w:p>
    <w:p>
      <w:pPr>
        <w:pStyle w:val="Compact"/>
        <w:numPr>
          <w:ilvl w:val="0"/>
          <w:numId w:val="1012"/>
        </w:numPr>
      </w:pPr>
      <w:r>
        <w:t xml:space="preserve">geplante Programmbeendigung;</w:t>
      </w:r>
    </w:p>
    <w:p>
      <w:pPr>
        <w:pStyle w:val="Compact"/>
        <w:numPr>
          <w:ilvl w:val="0"/>
          <w:numId w:val="1012"/>
        </w:numPr>
      </w:pPr>
      <w:r>
        <w:t xml:space="preserve">Konto wurde gesperrt;</w:t>
      </w:r>
    </w:p>
    <w:p>
      <w:pPr>
        <w:pStyle w:val="Compact"/>
        <w:numPr>
          <w:ilvl w:val="0"/>
          <w:numId w:val="1012"/>
        </w:numPr>
      </w:pPr>
      <w:r>
        <w:t xml:space="preserve">Reward wurde tatsächlich eingelöst;</w:t>
      </w:r>
    </w:p>
    <w:p>
      <w:pPr>
        <w:pStyle w:val="Compact"/>
        <w:numPr>
          <w:ilvl w:val="0"/>
          <w:numId w:val="1012"/>
        </w:numPr>
      </w:pPr>
      <w:r>
        <w:t xml:space="preserve">notwendige Information zu einem technischen Vorfall.</w:t>
      </w:r>
    </w:p>
    <w:p>
      <w:pPr>
        <w:pStyle w:val="FirstParagraph"/>
      </w:pPr>
      <w:r>
        <w:t xml:space="preserve">Diese Nachrichten dürfen nicht mit Werbung vermischt werden.</w:t>
      </w:r>
    </w:p>
    <w:p>
      <w:pPr>
        <w:pStyle w:val="BodyText"/>
      </w:pPr>
      <w:r>
        <w:t xml:space="preserve">Eine notwendige Nachricht darf keinen zusätzlichen Werbeblock enthalten wie:</w:t>
      </w:r>
    </w:p>
    <w:p>
      <w:pPr>
        <w:pStyle w:val="BlockText"/>
      </w:pPr>
      <w:r>
        <w:t xml:space="preserve">Übrigens: Heute 20 % auf alle Desserts.</w:t>
      </w:r>
    </w:p>
    <w:bookmarkEnd w:id="31"/>
    <w:bookmarkStart w:id="32" w:name="marketingnachrichten"/>
    <w:p>
      <w:pPr>
        <w:pStyle w:val="Heading2"/>
      </w:pPr>
      <w:r>
        <w:t xml:space="preserve">3.2 Marketingnachrichten</w:t>
      </w:r>
    </w:p>
    <w:p>
      <w:pPr>
        <w:pStyle w:val="FirstParagraph"/>
      </w:pPr>
      <w:r>
        <w:t xml:space="preserve">Marketing ist jede Nachricht, die insbesondere Absatz, Kundenbindung oder Inanspruchnahme von Angeboten fördern soll.</w:t>
      </w:r>
    </w:p>
    <w:p>
      <w:pPr>
        <w:pStyle w:val="BodyText"/>
      </w:pPr>
      <w:r>
        <w:t xml:space="preserve">Beispiele:</w:t>
      </w:r>
    </w:p>
    <w:p>
      <w:pPr>
        <w:pStyle w:val="Compact"/>
        <w:numPr>
          <w:ilvl w:val="0"/>
          <w:numId w:val="1013"/>
        </w:numPr>
      </w:pPr>
      <w:r>
        <w:t xml:space="preserve">neues Menü;</w:t>
      </w:r>
    </w:p>
    <w:p>
      <w:pPr>
        <w:pStyle w:val="Compact"/>
        <w:numPr>
          <w:ilvl w:val="0"/>
          <w:numId w:val="1013"/>
        </w:numPr>
      </w:pPr>
      <w:r>
        <w:t xml:space="preserve">Rabattaktion;</w:t>
      </w:r>
    </w:p>
    <w:p>
      <w:pPr>
        <w:pStyle w:val="Compact"/>
        <w:numPr>
          <w:ilvl w:val="0"/>
          <w:numId w:val="1013"/>
        </w:numPr>
      </w:pPr>
      <w:r>
        <w:t xml:space="preserve">Happy Hour;</w:t>
      </w:r>
    </w:p>
    <w:p>
      <w:pPr>
        <w:pStyle w:val="Compact"/>
        <w:numPr>
          <w:ilvl w:val="0"/>
          <w:numId w:val="1013"/>
        </w:numPr>
      </w:pPr>
      <w:r>
        <w:t xml:space="preserve">zusätzlicher Bonus;</w:t>
      </w:r>
    </w:p>
    <w:p>
      <w:pPr>
        <w:pStyle w:val="Compact"/>
        <w:numPr>
          <w:ilvl w:val="0"/>
          <w:numId w:val="1013"/>
        </w:numPr>
      </w:pPr>
      <w:r>
        <w:t xml:space="preserve">Geburtstagsangebot;</w:t>
      </w:r>
    </w:p>
    <w:p>
      <w:pPr>
        <w:pStyle w:val="Compact"/>
        <w:numPr>
          <w:ilvl w:val="0"/>
          <w:numId w:val="1013"/>
        </w:numPr>
      </w:pPr>
      <w:r>
        <w:t xml:space="preserve">Reward-Erinnerung mit Verkaufsförderungszweck;</w:t>
      </w:r>
    </w:p>
    <w:p>
      <w:pPr>
        <w:pStyle w:val="Compact"/>
        <w:numPr>
          <w:ilvl w:val="0"/>
          <w:numId w:val="1013"/>
        </w:numPr>
      </w:pPr>
      <w:r>
        <w:t xml:space="preserve">„Du warst lange nicht mehr bei uns“;</w:t>
      </w:r>
    </w:p>
    <w:p>
      <w:pPr>
        <w:pStyle w:val="Compact"/>
        <w:numPr>
          <w:ilvl w:val="0"/>
          <w:numId w:val="1013"/>
        </w:numPr>
      </w:pPr>
      <w:r>
        <w:t xml:space="preserve">neue Filiale;</w:t>
      </w:r>
    </w:p>
    <w:p>
      <w:pPr>
        <w:pStyle w:val="Compact"/>
        <w:numPr>
          <w:ilvl w:val="0"/>
          <w:numId w:val="1013"/>
        </w:numPr>
      </w:pPr>
      <w:r>
        <w:t xml:space="preserve">Eventeinladung;</w:t>
      </w:r>
    </w:p>
    <w:p>
      <w:pPr>
        <w:pStyle w:val="Compact"/>
        <w:numPr>
          <w:ilvl w:val="0"/>
          <w:numId w:val="1013"/>
        </w:numPr>
      </w:pPr>
      <w:r>
        <w:t xml:space="preserve">personalisierte Produktempfehlung.</w:t>
      </w:r>
    </w:p>
    <w:bookmarkEnd w:id="32"/>
    <w:bookmarkStart w:id="33" w:name="gemischte-nachrichten"/>
    <w:p>
      <w:pPr>
        <w:pStyle w:val="Heading2"/>
      </w:pPr>
      <w:r>
        <w:t xml:space="preserve">3.3 Gemischte Nachrichten</w:t>
      </w:r>
    </w:p>
    <w:p>
      <w:pPr>
        <w:pStyle w:val="FirstParagraph"/>
      </w:pPr>
      <w:r>
        <w:t xml:space="preserve">Nachrichten mit transaktionalem und werblichem Inhalt sollen vermieden werden.</w:t>
      </w:r>
    </w:p>
    <w:p>
      <w:pPr>
        <w:pStyle w:val="BodyText"/>
      </w:pPr>
      <w:r>
        <w:t xml:space="preserve">Ist eine Nachricht gemischt, wird sie im Zweifel als Marketing behandelt und nur bei gültiger Marketingberechtigung versendet.</w:t>
      </w:r>
    </w:p>
    <w:p>
      <w:r>
        <w:pict>
          <v:rect style="width:0;height:1.5pt" o:hralign="center" o:hrstd="t" o:hr="t"/>
        </w:pict>
      </w:r>
    </w:p>
    <w:bookmarkEnd w:id="33"/>
    <w:bookmarkEnd w:id="34"/>
    <w:bookmarkStart w:id="43" w:name="e-mail-marketing"/>
    <w:p>
      <w:pPr>
        <w:pStyle w:val="Heading1"/>
      </w:pPr>
      <w:r>
        <w:t xml:space="preserve">4. E-Mail-Marketing</w:t>
      </w:r>
    </w:p>
    <w:bookmarkStart w:id="35" w:name="verantwortlicher"/>
    <w:p>
      <w:pPr>
        <w:pStyle w:val="Heading2"/>
      </w:pPr>
      <w:r>
        <w:t xml:space="preserve">4.1 Verantwortlicher</w:t>
      </w:r>
    </w:p>
    <w:p>
      <w:pPr>
        <w:pStyle w:val="FirstParagraph"/>
      </w:pPr>
      <w:r>
        <w:t xml:space="preserve">Grundsätzlich ist das jeweilige Restaurantunternehmen Verantwortlicher, wenn:</w:t>
      </w:r>
    </w:p>
    <w:p>
      <w:pPr>
        <w:pStyle w:val="Compact"/>
        <w:numPr>
          <w:ilvl w:val="0"/>
          <w:numId w:val="1014"/>
        </w:numPr>
      </w:pPr>
      <w:r>
        <w:t xml:space="preserve">das Restaurant den Empfängerkreis bestimmt;</w:t>
      </w:r>
    </w:p>
    <w:p>
      <w:pPr>
        <w:pStyle w:val="Compact"/>
        <w:numPr>
          <w:ilvl w:val="0"/>
          <w:numId w:val="1014"/>
        </w:numPr>
      </w:pPr>
      <w:r>
        <w:t xml:space="preserve">das Restaurant Inhalt und Zweck bestimmt;</w:t>
      </w:r>
    </w:p>
    <w:p>
      <w:pPr>
        <w:pStyle w:val="Compact"/>
        <w:numPr>
          <w:ilvl w:val="0"/>
          <w:numId w:val="1014"/>
        </w:numPr>
      </w:pPr>
      <w:r>
        <w:t xml:space="preserve">das Restaurant als Absender auftritt;</w:t>
      </w:r>
    </w:p>
    <w:p>
      <w:pPr>
        <w:pStyle w:val="Compact"/>
        <w:numPr>
          <w:ilvl w:val="0"/>
          <w:numId w:val="1014"/>
        </w:numPr>
      </w:pPr>
      <w:r>
        <w:t xml:space="preserve">das Restaurant wirtschaftlich von der Nachricht profitiert.</w:t>
      </w:r>
    </w:p>
    <w:p>
      <w:pPr>
        <w:pStyle w:val="FirstParagraph"/>
      </w:pPr>
      <w:r>
        <w:t xml:space="preserve">WUXUAI ist technischer Auftragsverarbeiter, wenn WUXUAI die Nachricht ausschließlich nach Restaurantweisung technisch versendet.</w:t>
      </w:r>
    </w:p>
    <w:p>
      <w:pPr>
        <w:pStyle w:val="BodyText"/>
      </w:pPr>
      <w:r>
        <w:t xml:space="preserve">WUXUAI-eigene Werbung benötigt einen separaten Consent gegenüber WUXUAI.</w:t>
      </w:r>
    </w:p>
    <w:bookmarkEnd w:id="35"/>
    <w:bookmarkStart w:id="38" w:name="empfohlener-einwilligungstext"/>
    <w:p>
      <w:pPr>
        <w:pStyle w:val="Heading2"/>
      </w:pPr>
      <w:r>
        <w:t xml:space="preserve">4.2 Empfohlener Einwilligungstext</w:t>
      </w:r>
    </w:p>
    <w:bookmarkStart w:id="36" w:name="kurzer-checkboxtext"/>
    <w:p>
      <w:pPr>
        <w:pStyle w:val="Heading3"/>
      </w:pPr>
      <w:r>
        <w:t xml:space="preserve">Kurzer Checkboxtext</w:t>
      </w:r>
    </w:p>
    <w:p>
      <w:pPr>
        <w:pStyle w:val="BlockText"/>
      </w:pPr>
      <w:r>
        <w:t xml:space="preserve">Ich möchte per E-Mail Angebote, Aktionen und Neuigkeiten von</w:t>
      </w:r>
      <w:r>
        <w:t xml:space="preserve"> </w:t>
      </w:r>
      <w:r>
        <w:rPr>
          <w:b/>
          <w:bCs/>
        </w:rPr>
        <w:t xml:space="preserve">[RESTAURANT_RECHTSTRAEGER / MARKE]</w:t>
      </w:r>
      <w:r>
        <w:t xml:space="preserve"> </w:t>
      </w:r>
      <w:r>
        <w:t xml:space="preserve">erhalten. Meine Einwilligung ist freiwillig und kann jederzeit über den Abmeldelink oder im Kundenkonto widerrufen werden.</w:t>
      </w:r>
    </w:p>
    <w:bookmarkEnd w:id="36"/>
    <w:bookmarkStart w:id="37" w:name="erweiterte-information"/>
    <w:p>
      <w:pPr>
        <w:pStyle w:val="Heading3"/>
      </w:pPr>
      <w:r>
        <w:t xml:space="preserve">Erweiterte Information</w:t>
      </w:r>
    </w:p>
    <w:p>
      <w:pPr>
        <w:pStyle w:val="BlockText"/>
      </w:pPr>
      <w:r>
        <w:t xml:space="preserve">Verantwortlicher für diese Werbenachrichten ist</w:t>
      </w:r>
      <w:r>
        <w:t xml:space="preserve"> </w:t>
      </w:r>
      <w:r>
        <w:rPr>
          <w:b/>
          <w:bCs/>
        </w:rPr>
        <w:t xml:space="preserve">[RESTAURANT_RECHTSTRAEGER, ANSCHRIFT]</w:t>
      </w:r>
      <w:r>
        <w:t xml:space="preserve">. Die Nachrichten können insbesondere Informationen über Angebote, Rewards, Veranstaltungen, neue Produkte und Aktionen enthalten. Die Einwilligung ist freiwillig und nicht Voraussetzung für die Teilnahme am Bonusprogramm. Sie kann jederzeit mit Wirkung für die Zukunft widerrufen werden. Weitere Informationen enthält die Datenschutzerklärung.</w:t>
      </w:r>
    </w:p>
    <w:bookmarkEnd w:id="37"/>
    <w:bookmarkEnd w:id="38"/>
    <w:bookmarkStart w:id="39" w:name="double-opt-in"/>
    <w:p>
      <w:pPr>
        <w:pStyle w:val="Heading2"/>
      </w:pPr>
      <w:r>
        <w:t xml:space="preserve">4.3 Double-Opt-in</w:t>
      </w:r>
    </w:p>
    <w:p>
      <w:pPr>
        <w:pStyle w:val="FirstParagraph"/>
      </w:pPr>
      <w:r>
        <w:t xml:space="preserve">WUXUAI soll E-Mail-Marketing technisch grundsätzlich über Double-Opt-in aktivieren.</w:t>
      </w:r>
    </w:p>
    <w:p>
      <w:pPr>
        <w:pStyle w:val="BodyText"/>
      </w:pPr>
      <w:r>
        <w:t xml:space="preserve">Ablauf:</w:t>
      </w:r>
    </w:p>
    <w:p>
      <w:pPr>
        <w:pStyle w:val="Compact"/>
        <w:numPr>
          <w:ilvl w:val="0"/>
          <w:numId w:val="1015"/>
        </w:numPr>
      </w:pPr>
      <w:r>
        <w:t xml:space="preserve">Gast aktiviert die E-Mail-Checkbox.</w:t>
      </w:r>
    </w:p>
    <w:p>
      <w:pPr>
        <w:pStyle w:val="Compact"/>
        <w:numPr>
          <w:ilvl w:val="0"/>
          <w:numId w:val="1015"/>
        </w:numPr>
      </w:pPr>
      <w:r>
        <w:t xml:space="preserve">Consent erhält Status</w:t>
      </w:r>
      <w:r>
        <w:t xml:space="preserve"> </w:t>
      </w:r>
      <w:r>
        <w:rPr>
          <w:rStyle w:val="VerbatimChar"/>
        </w:rPr>
        <w:t xml:space="preserve">PENDING</w:t>
      </w:r>
      <w:r>
        <w:t xml:space="preserve">.</w:t>
      </w:r>
    </w:p>
    <w:p>
      <w:pPr>
        <w:pStyle w:val="Compact"/>
        <w:numPr>
          <w:ilvl w:val="0"/>
          <w:numId w:val="1015"/>
        </w:numPr>
      </w:pPr>
      <w:r>
        <w:t xml:space="preserve">System versendet eine Bestätigungs-E-Mail.</w:t>
      </w:r>
    </w:p>
    <w:p>
      <w:pPr>
        <w:pStyle w:val="Compact"/>
        <w:numPr>
          <w:ilvl w:val="0"/>
          <w:numId w:val="1015"/>
        </w:numPr>
      </w:pPr>
      <w:r>
        <w:t xml:space="preserve">Gast klickt den einmaligen Bestätigungslink.</w:t>
      </w:r>
    </w:p>
    <w:p>
      <w:pPr>
        <w:pStyle w:val="Compact"/>
        <w:numPr>
          <w:ilvl w:val="0"/>
          <w:numId w:val="1015"/>
        </w:numPr>
      </w:pPr>
      <w:r>
        <w:t xml:space="preserve">System prüft Token, Restaurant, Kanal und Ablaufzeit.</w:t>
      </w:r>
    </w:p>
    <w:p>
      <w:pPr>
        <w:pStyle w:val="Compact"/>
        <w:numPr>
          <w:ilvl w:val="0"/>
          <w:numId w:val="1015"/>
        </w:numPr>
      </w:pPr>
      <w:r>
        <w:t xml:space="preserve">Consent erhält Status</w:t>
      </w:r>
      <w:r>
        <w:t xml:space="preserve"> </w:t>
      </w:r>
      <w:r>
        <w:rPr>
          <w:rStyle w:val="VerbatimChar"/>
        </w:rPr>
        <w:t xml:space="preserve">ACTIVE</w:t>
      </w:r>
      <w:r>
        <w:t xml:space="preserve">.</w:t>
      </w:r>
    </w:p>
    <w:p>
      <w:pPr>
        <w:pStyle w:val="Compact"/>
        <w:numPr>
          <w:ilvl w:val="0"/>
          <w:numId w:val="1015"/>
        </w:numPr>
      </w:pPr>
      <w:r>
        <w:t xml:space="preserve">Bestätigung wird unveränderbar protokolliert.</w:t>
      </w:r>
    </w:p>
    <w:p>
      <w:pPr>
        <w:pStyle w:val="Compact"/>
        <w:numPr>
          <w:ilvl w:val="0"/>
          <w:numId w:val="1015"/>
        </w:numPr>
      </w:pPr>
      <w:r>
        <w:t xml:space="preserve">Token wird deaktiviert.</w:t>
      </w:r>
    </w:p>
    <w:p>
      <w:pPr>
        <w:pStyle w:val="Compact"/>
        <w:numPr>
          <w:ilvl w:val="0"/>
          <w:numId w:val="1015"/>
        </w:numPr>
      </w:pPr>
      <w:r>
        <w:t xml:space="preserve">Gast erhält optional eine reine Bestätigungsnachricht.</w:t>
      </w:r>
    </w:p>
    <w:p>
      <w:pPr>
        <w:pStyle w:val="FirstParagraph"/>
      </w:pPr>
      <w:r>
        <w:t xml:space="preserve">Vor Schritt 6 darf keine Marketing-E-Mail versendet werden.</w:t>
      </w:r>
    </w:p>
    <w:bookmarkEnd w:id="39"/>
    <w:bookmarkStart w:id="40" w:name="text-der-double-opt-in-e-mail"/>
    <w:p>
      <w:pPr>
        <w:pStyle w:val="Heading2"/>
      </w:pPr>
      <w:r>
        <w:t xml:space="preserve">4.4 Text der Double-Opt-in-E-Mail</w:t>
      </w:r>
    </w:p>
    <w:p>
      <w:pPr>
        <w:pStyle w:val="FirstParagraph"/>
      </w:pPr>
      <w:r>
        <w:rPr>
          <w:b/>
          <w:bCs/>
        </w:rPr>
        <w:t xml:space="preserve">Betreff:</w:t>
      </w:r>
    </w:p>
    <w:p>
      <w:pPr>
        <w:pStyle w:val="BlockText"/>
      </w:pPr>
      <w:r>
        <w:t xml:space="preserve">Bitte E-Mail-Einwilligung für [RESTAURANT_MARKE] bestätigen</w:t>
      </w:r>
    </w:p>
    <w:p>
      <w:pPr>
        <w:pStyle w:val="FirstParagraph"/>
      </w:pPr>
      <w:r>
        <w:rPr>
          <w:b/>
          <w:bCs/>
        </w:rPr>
        <w:t xml:space="preserve">Text:</w:t>
      </w:r>
    </w:p>
    <w:p>
      <w:pPr>
        <w:pStyle w:val="BlockText"/>
      </w:pPr>
      <w:r>
        <w:t xml:space="preserve">Sie haben angegeben, per E-Mail Angebote, Aktionen und Neuigkeiten von</w:t>
      </w:r>
      <w:r>
        <w:t xml:space="preserve"> </w:t>
      </w:r>
      <w:r>
        <w:rPr>
          <w:b/>
          <w:bCs/>
        </w:rPr>
        <w:t xml:space="preserve">[RESTAURANT_RECHTSTRAEGER / MARKE]</w:t>
      </w:r>
      <w:r>
        <w:t xml:space="preserve"> </w:t>
      </w:r>
      <w:r>
        <w:t xml:space="preserve">erhalten zu wollen.</w:t>
      </w:r>
    </w:p>
    <w:p>
      <w:pPr>
        <w:pStyle w:val="BlockText"/>
      </w:pPr>
      <w:r>
        <w:t xml:space="preserve">Bitte bestätigen Sie Ihre Einwilligung über den folgenden Button:</w:t>
      </w:r>
    </w:p>
    <w:p>
      <w:pPr>
        <w:pStyle w:val="BlockText"/>
      </w:pPr>
      <w:r>
        <w:rPr>
          <w:b/>
          <w:bCs/>
        </w:rPr>
        <w:t xml:space="preserve">E-Mail-Einwilligung bestätigen</w:t>
      </w:r>
    </w:p>
    <w:p>
      <w:pPr>
        <w:pStyle w:val="BlockText"/>
      </w:pPr>
      <w:r>
        <w:t xml:space="preserve">Wenn Sie diese Anfrage nicht selbst gestellt haben, müssen Sie nichts tun. Ohne Bestätigung erhalten Sie keine Marketing-E-Mails.</w:t>
      </w:r>
    </w:p>
    <w:p>
      <w:pPr>
        <w:pStyle w:val="BlockText"/>
      </w:pPr>
      <w:r>
        <w:t xml:space="preserve">Die Einwilligung ist freiwillig und kann jederzeit über den Abmeldelink in jeder Nachricht oder im Kundenkonto widerrufen werden.</w:t>
      </w:r>
    </w:p>
    <w:p>
      <w:pPr>
        <w:pStyle w:val="BlockText"/>
      </w:pPr>
      <w:r>
        <w:t xml:space="preserve">Verantwortlicher:</w:t>
      </w:r>
      <w:r>
        <w:br/>
      </w:r>
      <w:r>
        <w:t xml:space="preserve">[RESTAURANT_RECHTSTRAEGER]</w:t>
      </w:r>
      <w:r>
        <w:br/>
      </w:r>
      <w:r>
        <w:t xml:space="preserve">[RESTAURANT_ANSCHRIFT]</w:t>
      </w:r>
      <w:r>
        <w:br/>
      </w:r>
      <w:r>
        <w:t xml:space="preserve">[RESTAURANT_KONTAKT]</w:t>
      </w:r>
    </w:p>
    <w:p>
      <w:pPr>
        <w:pStyle w:val="BlockText"/>
      </w:pPr>
      <w:r>
        <w:t xml:space="preserve">Datenschutz: [LINK_DATENSCHUTZ]</w:t>
      </w:r>
    </w:p>
    <w:bookmarkEnd w:id="40"/>
    <w:bookmarkStart w:id="41" w:name="tokenregeln"/>
    <w:p>
      <w:pPr>
        <w:pStyle w:val="Heading2"/>
      </w:pPr>
      <w:r>
        <w:t xml:space="preserve">4.5 Tokenregeln</w:t>
      </w:r>
    </w:p>
    <w:p>
      <w:pPr>
        <w:pStyle w:val="FirstParagraph"/>
      </w:pPr>
      <w:r>
        <w:t xml:space="preserve">Der Bestätigungstoken muss:</w:t>
      </w:r>
    </w:p>
    <w:p>
      <w:pPr>
        <w:pStyle w:val="Compact"/>
        <w:numPr>
          <w:ilvl w:val="0"/>
          <w:numId w:val="1016"/>
        </w:numPr>
      </w:pPr>
      <w:r>
        <w:t xml:space="preserve">kryptografisch zufällig sein;</w:t>
      </w:r>
    </w:p>
    <w:p>
      <w:pPr>
        <w:pStyle w:val="Compact"/>
        <w:numPr>
          <w:ilvl w:val="0"/>
          <w:numId w:val="1016"/>
        </w:numPr>
      </w:pPr>
      <w:r>
        <w:t xml:space="preserve">nur einmal verwendbar sein;</w:t>
      </w:r>
    </w:p>
    <w:p>
      <w:pPr>
        <w:pStyle w:val="Compact"/>
        <w:numPr>
          <w:ilvl w:val="0"/>
          <w:numId w:val="1016"/>
        </w:numPr>
      </w:pPr>
      <w:r>
        <w:t xml:space="preserve">restaurantbezogen sein;</w:t>
      </w:r>
    </w:p>
    <w:p>
      <w:pPr>
        <w:pStyle w:val="Compact"/>
        <w:numPr>
          <w:ilvl w:val="0"/>
          <w:numId w:val="1016"/>
        </w:numPr>
      </w:pPr>
      <w:r>
        <w:t xml:space="preserve">kanalbezogen sein;</w:t>
      </w:r>
    </w:p>
    <w:p>
      <w:pPr>
        <w:pStyle w:val="Compact"/>
        <w:numPr>
          <w:ilvl w:val="0"/>
          <w:numId w:val="1016"/>
        </w:numPr>
      </w:pPr>
      <w:r>
        <w:t xml:space="preserve">nicht die E-Mail-Adresse im Klartext enthalten;</w:t>
      </w:r>
    </w:p>
    <w:p>
      <w:pPr>
        <w:pStyle w:val="Compact"/>
        <w:numPr>
          <w:ilvl w:val="0"/>
          <w:numId w:val="1016"/>
        </w:numPr>
      </w:pPr>
      <w:r>
        <w:t xml:space="preserve">zeitlich begrenzt sein;</w:t>
      </w:r>
    </w:p>
    <w:p>
      <w:pPr>
        <w:pStyle w:val="Compact"/>
        <w:numPr>
          <w:ilvl w:val="0"/>
          <w:numId w:val="1016"/>
        </w:numPr>
      </w:pPr>
      <w:r>
        <w:t xml:space="preserve">nach Verwendung deaktiviert werden;</w:t>
      </w:r>
    </w:p>
    <w:p>
      <w:pPr>
        <w:pStyle w:val="Compact"/>
        <w:numPr>
          <w:ilvl w:val="0"/>
          <w:numId w:val="1016"/>
        </w:numPr>
      </w:pPr>
      <w:r>
        <w:t xml:space="preserve">bei erneuter Anforderung ersetzt oder widerrufen werden.</w:t>
      </w:r>
    </w:p>
    <w:p>
      <w:pPr>
        <w:pStyle w:val="FirstParagraph"/>
      </w:pPr>
      <w:r>
        <w:t xml:space="preserve">Empfohlene Gültigkeit:</w:t>
      </w:r>
    </w:p>
    <w:p>
      <w:pPr>
        <w:pStyle w:val="SourceCode"/>
      </w:pPr>
      <w:r>
        <w:rPr>
          <w:rStyle w:val="VerbatimChar"/>
        </w:rPr>
        <w:t xml:space="preserve">48 Stunden</w:t>
      </w:r>
    </w:p>
    <w:p>
      <w:pPr>
        <w:pStyle w:val="FirstParagraph"/>
      </w:pPr>
      <w:r>
        <w:t xml:space="preserve">Die endgültige Frist ist anwaltlich festzulegen.</w:t>
      </w:r>
    </w:p>
    <w:bookmarkEnd w:id="41"/>
    <w:bookmarkStart w:id="42" w:name="abmeldung"/>
    <w:p>
      <w:pPr>
        <w:pStyle w:val="Heading2"/>
      </w:pPr>
      <w:r>
        <w:t xml:space="preserve">4.6 Abmeldung</w:t>
      </w:r>
    </w:p>
    <w:p>
      <w:pPr>
        <w:pStyle w:val="FirstParagraph"/>
      </w:pPr>
      <w:r>
        <w:t xml:space="preserve">Jede Marketing-E-Mail enthält:</w:t>
      </w:r>
    </w:p>
    <w:p>
      <w:pPr>
        <w:pStyle w:val="Compact"/>
        <w:numPr>
          <w:ilvl w:val="0"/>
          <w:numId w:val="1017"/>
        </w:numPr>
      </w:pPr>
      <w:r>
        <w:t xml:space="preserve">einen klar sichtbaren Abmeldelink;</w:t>
      </w:r>
    </w:p>
    <w:p>
      <w:pPr>
        <w:pStyle w:val="Compact"/>
        <w:numPr>
          <w:ilvl w:val="0"/>
          <w:numId w:val="1017"/>
        </w:numPr>
      </w:pPr>
      <w:r>
        <w:t xml:space="preserve">den verantwortlichen Absender;</w:t>
      </w:r>
    </w:p>
    <w:p>
      <w:pPr>
        <w:pStyle w:val="Compact"/>
        <w:numPr>
          <w:ilvl w:val="0"/>
          <w:numId w:val="1017"/>
        </w:numPr>
      </w:pPr>
      <w:r>
        <w:t xml:space="preserve">eine authentische Antwort- oder Kontaktadresse;</w:t>
      </w:r>
    </w:p>
    <w:p>
      <w:pPr>
        <w:pStyle w:val="Compact"/>
        <w:numPr>
          <w:ilvl w:val="0"/>
          <w:numId w:val="1017"/>
        </w:numPr>
      </w:pPr>
      <w:r>
        <w:t xml:space="preserve">Link zur Datenschutzerklärung;</w:t>
      </w:r>
    </w:p>
    <w:p>
      <w:pPr>
        <w:pStyle w:val="Compact"/>
        <w:numPr>
          <w:ilvl w:val="0"/>
          <w:numId w:val="1017"/>
        </w:numPr>
      </w:pPr>
      <w:r>
        <w:t xml:space="preserve">gegebenenfalls Impressumsangaben.</w:t>
      </w:r>
    </w:p>
    <w:p>
      <w:pPr>
        <w:pStyle w:val="FirstParagraph"/>
      </w:pPr>
      <w:r>
        <w:t xml:space="preserve">Abmeldetext:</w:t>
      </w:r>
    </w:p>
    <w:p>
      <w:pPr>
        <w:pStyle w:val="BlockText"/>
      </w:pPr>
      <w:r>
        <w:t xml:space="preserve">Sie erhalten diese Nachricht, weil Sie E-Mail-Angeboten von [RESTAURANT_MARKE] zugestimmt haben. Sie können Ihre Einwilligung jederzeit über</w:t>
      </w:r>
      <w:r>
        <w:t xml:space="preserve"> </w:t>
      </w:r>
      <w:r>
        <w:rPr>
          <w:b/>
          <w:bCs/>
        </w:rPr>
        <w:t xml:space="preserve">[ABMELDELINK]</w:t>
      </w:r>
      <w:r>
        <w:t xml:space="preserve"> </w:t>
      </w:r>
      <w:r>
        <w:t xml:space="preserve">widerrufen.</w:t>
      </w:r>
    </w:p>
    <w:p>
      <w:r>
        <w:pict>
          <v:rect style="width:0;height:1.5pt" o:hralign="center" o:hrstd="t" o:hr="t"/>
        </w:pict>
      </w:r>
    </w:p>
    <w:bookmarkEnd w:id="42"/>
    <w:bookmarkEnd w:id="43"/>
    <w:bookmarkStart w:id="49" w:name="sms-marketing"/>
    <w:p>
      <w:pPr>
        <w:pStyle w:val="Heading1"/>
      </w:pPr>
      <w:r>
        <w:t xml:space="preserve">5. SMS-Marketing</w:t>
      </w:r>
    </w:p>
    <w:bookmarkStart w:id="44" w:name="checkboxtext"/>
    <w:p>
      <w:pPr>
        <w:pStyle w:val="Heading2"/>
      </w:pPr>
      <w:r>
        <w:t xml:space="preserve">5.1 Checkboxtext</w:t>
      </w:r>
    </w:p>
    <w:p>
      <w:pPr>
        <w:pStyle w:val="BlockText"/>
      </w:pPr>
      <w:r>
        <w:t xml:space="preserve">Ich möchte per SMS Angebote, Aktionen und Neuigkeiten von</w:t>
      </w:r>
      <w:r>
        <w:t xml:space="preserve"> </w:t>
      </w:r>
      <w:r>
        <w:rPr>
          <w:b/>
          <w:bCs/>
        </w:rPr>
        <w:t xml:space="preserve">[RESTAURANT_RECHTSTRAEGER / MARKE]</w:t>
      </w:r>
      <w:r>
        <w:t xml:space="preserve"> </w:t>
      </w:r>
      <w:r>
        <w:t xml:space="preserve">erhalten. Meine Einwilligung ist freiwillig und kann jederzeit widerrufen werden.</w:t>
      </w:r>
    </w:p>
    <w:bookmarkEnd w:id="44"/>
    <w:bookmarkStart w:id="45" w:name="double-opt-in-1"/>
    <w:p>
      <w:pPr>
        <w:pStyle w:val="Heading2"/>
      </w:pPr>
      <w:r>
        <w:t xml:space="preserve">5.2 Double-Opt-in</w:t>
      </w:r>
    </w:p>
    <w:p>
      <w:pPr>
        <w:pStyle w:val="FirstParagraph"/>
      </w:pPr>
      <w:r>
        <w:t xml:space="preserve">Auch für SMS soll WUXUAI grundsätzlich ein Bestätigungsverfahren einsetzen.</w:t>
      </w:r>
    </w:p>
    <w:p>
      <w:pPr>
        <w:pStyle w:val="BodyText"/>
      </w:pPr>
      <w:r>
        <w:t xml:space="preserve">Mögliche V1-Variante:</w:t>
      </w:r>
    </w:p>
    <w:p>
      <w:pPr>
        <w:pStyle w:val="Compact"/>
        <w:numPr>
          <w:ilvl w:val="0"/>
          <w:numId w:val="1018"/>
        </w:numPr>
      </w:pPr>
      <w:r>
        <w:t xml:space="preserve">Gast aktiviert SMS-Consent.</w:t>
      </w:r>
    </w:p>
    <w:p>
      <w:pPr>
        <w:pStyle w:val="Compact"/>
        <w:numPr>
          <w:ilvl w:val="0"/>
          <w:numId w:val="1018"/>
        </w:numPr>
      </w:pPr>
      <w:r>
        <w:t xml:space="preserve">Status wird</w:t>
      </w:r>
      <w:r>
        <w:t xml:space="preserve"> </w:t>
      </w:r>
      <w:r>
        <w:rPr>
          <w:rStyle w:val="VerbatimChar"/>
        </w:rPr>
        <w:t xml:space="preserve">PENDING</w:t>
      </w:r>
      <w:r>
        <w:t xml:space="preserve">.</w:t>
      </w:r>
    </w:p>
    <w:p>
      <w:pPr>
        <w:pStyle w:val="Compact"/>
        <w:numPr>
          <w:ilvl w:val="0"/>
          <w:numId w:val="1018"/>
        </w:numPr>
      </w:pPr>
      <w:r>
        <w:t xml:space="preserve">System sendet einen einmaligen Zahlencode.</w:t>
      </w:r>
    </w:p>
    <w:p>
      <w:pPr>
        <w:pStyle w:val="Compact"/>
        <w:numPr>
          <w:ilvl w:val="0"/>
          <w:numId w:val="1018"/>
        </w:numPr>
      </w:pPr>
      <w:r>
        <w:t xml:space="preserve">Gast gibt den Code in der Plattform ein.</w:t>
      </w:r>
    </w:p>
    <w:p>
      <w:pPr>
        <w:pStyle w:val="Compact"/>
        <w:numPr>
          <w:ilvl w:val="0"/>
          <w:numId w:val="1018"/>
        </w:numPr>
      </w:pPr>
      <w:r>
        <w:t xml:space="preserve">Nach erfolgreicher Prüfung wird Consent</w:t>
      </w:r>
      <w:r>
        <w:t xml:space="preserve"> </w:t>
      </w:r>
      <w:r>
        <w:rPr>
          <w:rStyle w:val="VerbatimChar"/>
        </w:rPr>
        <w:t xml:space="preserve">ACTIVE</w:t>
      </w:r>
      <w:r>
        <w:t xml:space="preserve">.</w:t>
      </w:r>
    </w:p>
    <w:p>
      <w:pPr>
        <w:pStyle w:val="FirstParagraph"/>
      </w:pPr>
      <w:r>
        <w:t xml:space="preserve">Der SMS-Code muss getrennt sein von:</w:t>
      </w:r>
    </w:p>
    <w:p>
      <w:pPr>
        <w:pStyle w:val="Compact"/>
        <w:numPr>
          <w:ilvl w:val="0"/>
          <w:numId w:val="1019"/>
        </w:numPr>
      </w:pPr>
      <w:r>
        <w:t xml:space="preserve">Tages-PIN;</w:t>
      </w:r>
    </w:p>
    <w:p>
      <w:pPr>
        <w:pStyle w:val="Compact"/>
        <w:numPr>
          <w:ilvl w:val="0"/>
          <w:numId w:val="1019"/>
        </w:numPr>
      </w:pPr>
      <w:r>
        <w:t xml:space="preserve">Rewardcode;</w:t>
      </w:r>
    </w:p>
    <w:p>
      <w:pPr>
        <w:pStyle w:val="Compact"/>
        <w:numPr>
          <w:ilvl w:val="0"/>
          <w:numId w:val="1019"/>
        </w:numPr>
      </w:pPr>
      <w:r>
        <w:t xml:space="preserve">Login-Code;</w:t>
      </w:r>
    </w:p>
    <w:p>
      <w:pPr>
        <w:pStyle w:val="Compact"/>
        <w:numPr>
          <w:ilvl w:val="0"/>
          <w:numId w:val="1019"/>
        </w:numPr>
      </w:pPr>
      <w:r>
        <w:t xml:space="preserve">Mitarbeiter-PIN.</w:t>
      </w:r>
    </w:p>
    <w:bookmarkEnd w:id="45"/>
    <w:bookmarkStart w:id="46" w:name="bestätigungs-sms"/>
    <w:p>
      <w:pPr>
        <w:pStyle w:val="Heading2"/>
      </w:pPr>
      <w:r>
        <w:t xml:space="preserve">5.3 Bestätigungs-SMS</w:t>
      </w:r>
    </w:p>
    <w:p>
      <w:pPr>
        <w:pStyle w:val="BlockText"/>
      </w:pPr>
      <w:r>
        <w:t xml:space="preserve">[RESTAURANT_MARKE]: Bitte bestätigen Sie Ihre SMS-Einwilligung mit dem Code [CODE]. Der Code ist [ZEITRAUM] gültig. Ohne Bestätigung erhalten Sie keine Werbe-SMS.</w:t>
      </w:r>
    </w:p>
    <w:bookmarkEnd w:id="46"/>
    <w:bookmarkStart w:id="47" w:name="widerruf"/>
    <w:p>
      <w:pPr>
        <w:pStyle w:val="Heading2"/>
      </w:pPr>
      <w:r>
        <w:t xml:space="preserve">5.4 Widerruf</w:t>
      </w:r>
    </w:p>
    <w:p>
      <w:pPr>
        <w:pStyle w:val="FirstParagraph"/>
      </w:pPr>
      <w:r>
        <w:t xml:space="preserve">Jede Werbe-SMS sollte eine einfache Widerrufsmöglichkeit enthalten, zum Beispiel:</w:t>
      </w:r>
    </w:p>
    <w:p>
      <w:pPr>
        <w:pStyle w:val="BlockText"/>
      </w:pPr>
      <w:r>
        <w:t xml:space="preserve">Abmeldung jederzeit unter [KURZLINK] oder im Kundenkonto.</w:t>
      </w:r>
    </w:p>
    <w:p>
      <w:pPr>
        <w:pStyle w:val="FirstParagraph"/>
      </w:pPr>
      <w:r>
        <w:t xml:space="preserve">Soweit technisch unterstützt:</w:t>
      </w:r>
    </w:p>
    <w:p>
      <w:pPr>
        <w:pStyle w:val="BlockText"/>
      </w:pPr>
      <w:r>
        <w:t xml:space="preserve">Antworten Sie mit STOP.</w:t>
      </w:r>
    </w:p>
    <w:p>
      <w:pPr>
        <w:pStyle w:val="FirstParagraph"/>
      </w:pPr>
      <w:r>
        <w:t xml:space="preserve">Ein STOP-Ereignis muss sofort:</w:t>
      </w:r>
    </w:p>
    <w:p>
      <w:pPr>
        <w:pStyle w:val="Compact"/>
        <w:numPr>
          <w:ilvl w:val="0"/>
          <w:numId w:val="1020"/>
        </w:numPr>
      </w:pPr>
      <w:r>
        <w:t xml:space="preserve">den Consent deaktivieren;</w:t>
      </w:r>
    </w:p>
    <w:p>
      <w:pPr>
        <w:pStyle w:val="Compact"/>
        <w:numPr>
          <w:ilvl w:val="0"/>
          <w:numId w:val="1020"/>
        </w:numPr>
      </w:pPr>
      <w:r>
        <w:t xml:space="preserve">weitere Kampagnen stoppen;</w:t>
      </w:r>
    </w:p>
    <w:p>
      <w:pPr>
        <w:pStyle w:val="Compact"/>
        <w:numPr>
          <w:ilvl w:val="0"/>
          <w:numId w:val="1020"/>
        </w:numPr>
      </w:pPr>
      <w:r>
        <w:t xml:space="preserve">in einer Sperrliste berücksichtigt werden;</w:t>
      </w:r>
    </w:p>
    <w:p>
      <w:pPr>
        <w:pStyle w:val="Compact"/>
        <w:numPr>
          <w:ilvl w:val="0"/>
          <w:numId w:val="1020"/>
        </w:numPr>
      </w:pPr>
      <w:r>
        <w:t xml:space="preserve">protokolliert werden.</w:t>
      </w:r>
    </w:p>
    <w:bookmarkEnd w:id="47"/>
    <w:bookmarkStart w:id="48" w:name="telefonnummernwechsel"/>
    <w:p>
      <w:pPr>
        <w:pStyle w:val="Heading2"/>
      </w:pPr>
      <w:r>
        <w:t xml:space="preserve">5.5 Telefonnummernwechsel</w:t>
      </w:r>
    </w:p>
    <w:p>
      <w:pPr>
        <w:pStyle w:val="FirstParagraph"/>
      </w:pPr>
      <w:r>
        <w:t xml:space="preserve">Bei Änderung der Telefonnummer:</w:t>
      </w:r>
    </w:p>
    <w:p>
      <w:pPr>
        <w:pStyle w:val="Compact"/>
        <w:numPr>
          <w:ilvl w:val="0"/>
          <w:numId w:val="1021"/>
        </w:numPr>
      </w:pPr>
      <w:r>
        <w:t xml:space="preserve">alter Consent wird nicht automatisch übertragen;</w:t>
      </w:r>
    </w:p>
    <w:p>
      <w:pPr>
        <w:pStyle w:val="Compact"/>
        <w:numPr>
          <w:ilvl w:val="0"/>
          <w:numId w:val="1021"/>
        </w:numPr>
      </w:pPr>
      <w:r>
        <w:t xml:space="preserve">neuer Bestätigungsprozess ist erforderlich;</w:t>
      </w:r>
    </w:p>
    <w:p>
      <w:pPr>
        <w:pStyle w:val="Compact"/>
        <w:numPr>
          <w:ilvl w:val="0"/>
          <w:numId w:val="1021"/>
        </w:numPr>
      </w:pPr>
      <w:r>
        <w:t xml:space="preserve">alte Nummer wird aus Versandlisten entfernt;</w:t>
      </w:r>
    </w:p>
    <w:p>
      <w:pPr>
        <w:pStyle w:val="Compact"/>
        <w:numPr>
          <w:ilvl w:val="0"/>
          <w:numId w:val="1021"/>
        </w:numPr>
      </w:pPr>
      <w:r>
        <w:t xml:space="preserve">bestehende Nachweise bleiben historisch erhalten.</w:t>
      </w:r>
    </w:p>
    <w:p>
      <w:r>
        <w:pict>
          <v:rect style="width:0;height:1.5pt" o:hralign="center" o:hrstd="t" o:hr="t"/>
        </w:pict>
      </w:r>
    </w:p>
    <w:bookmarkEnd w:id="48"/>
    <w:bookmarkEnd w:id="49"/>
    <w:bookmarkStart w:id="55" w:name="push-benachrichtigungen"/>
    <w:p>
      <w:pPr>
        <w:pStyle w:val="Heading1"/>
      </w:pPr>
      <w:r>
        <w:t xml:space="preserve">6. Push-Benachrichtigungen</w:t>
      </w:r>
    </w:p>
    <w:bookmarkStart w:id="50" w:name="zwei-getrennte-ebenen"/>
    <w:p>
      <w:pPr>
        <w:pStyle w:val="Heading2"/>
      </w:pPr>
      <w:r>
        <w:t xml:space="preserve">6.1 Zwei getrennte Ebenen</w:t>
      </w:r>
    </w:p>
    <w:p>
      <w:pPr>
        <w:pStyle w:val="FirstParagraph"/>
      </w:pPr>
      <w:r>
        <w:t xml:space="preserve">Push benötigt:</w:t>
      </w:r>
    </w:p>
    <w:p>
      <w:pPr>
        <w:pStyle w:val="Compact"/>
        <w:numPr>
          <w:ilvl w:val="0"/>
          <w:numId w:val="1022"/>
        </w:numPr>
      </w:pPr>
      <w:r>
        <w:t xml:space="preserve">eine technische Browser- oder Betriebssystemberechtigung;</w:t>
      </w:r>
    </w:p>
    <w:p>
      <w:pPr>
        <w:pStyle w:val="Compact"/>
        <w:numPr>
          <w:ilvl w:val="0"/>
          <w:numId w:val="1022"/>
        </w:numPr>
      </w:pPr>
      <w:r>
        <w:t xml:space="preserve">eine rechtliche und inhaltliche Freigabe für den jeweiligen Nachrichtenzweck.</w:t>
      </w:r>
    </w:p>
    <w:p>
      <w:pPr>
        <w:pStyle w:val="FirstParagraph"/>
      </w:pPr>
      <w:r>
        <w:t xml:space="preserve">Die technische Berechtigung allein darf nicht als vollständiger Marketingconsent behandelt werden.</w:t>
      </w:r>
    </w:p>
    <w:bookmarkEnd w:id="50"/>
    <w:bookmarkStart w:id="51" w:name="empfohlener-consent-text"/>
    <w:p>
      <w:pPr>
        <w:pStyle w:val="Heading2"/>
      </w:pPr>
      <w:r>
        <w:t xml:space="preserve">6.2 Empfohlener Consent-Text</w:t>
      </w:r>
    </w:p>
    <w:p>
      <w:pPr>
        <w:pStyle w:val="BlockText"/>
      </w:pPr>
      <w:r>
        <w:t xml:space="preserve">Ich möchte Push-Benachrichtigungen von</w:t>
      </w:r>
      <w:r>
        <w:t xml:space="preserve"> </w:t>
      </w:r>
      <w:r>
        <w:rPr>
          <w:b/>
          <w:bCs/>
        </w:rPr>
        <w:t xml:space="preserve">[RESTAURANT_RECHTSTRAEGER / MARKE]</w:t>
      </w:r>
      <w:r>
        <w:t xml:space="preserve"> </w:t>
      </w:r>
      <w:r>
        <w:t xml:space="preserve">zu Rewards, Aktionen und Neuigkeiten erhalten. Die Einwilligung ist freiwillig und kann jederzeit im Kundenkonto oder in den Geräteeinstellungen widerrufen werden.</w:t>
      </w:r>
    </w:p>
    <w:bookmarkEnd w:id="51"/>
    <w:bookmarkStart w:id="52" w:name="aktivierungsablauf"/>
    <w:p>
      <w:pPr>
        <w:pStyle w:val="Heading2"/>
      </w:pPr>
      <w:r>
        <w:t xml:space="preserve">6.3 Aktivierungsablauf</w:t>
      </w:r>
    </w:p>
    <w:p>
      <w:pPr>
        <w:pStyle w:val="Compact"/>
        <w:numPr>
          <w:ilvl w:val="0"/>
          <w:numId w:val="1023"/>
        </w:numPr>
      </w:pPr>
      <w:r>
        <w:t xml:space="preserve">App erklärt den konkreten Nutzen.</w:t>
      </w:r>
    </w:p>
    <w:p>
      <w:pPr>
        <w:pStyle w:val="Compact"/>
        <w:numPr>
          <w:ilvl w:val="0"/>
          <w:numId w:val="1023"/>
        </w:numPr>
      </w:pPr>
      <w:r>
        <w:t xml:space="preserve">Gast aktiviert freiwillig „Push einschalten“.</w:t>
      </w:r>
    </w:p>
    <w:p>
      <w:pPr>
        <w:pStyle w:val="Compact"/>
        <w:numPr>
          <w:ilvl w:val="0"/>
          <w:numId w:val="1023"/>
        </w:numPr>
      </w:pPr>
      <w:r>
        <w:t xml:space="preserve">Consent-Ereignis wird angelegt.</w:t>
      </w:r>
    </w:p>
    <w:p>
      <w:pPr>
        <w:pStyle w:val="Compact"/>
        <w:numPr>
          <w:ilvl w:val="0"/>
          <w:numId w:val="1023"/>
        </w:numPr>
      </w:pPr>
      <w:r>
        <w:t xml:space="preserve">Erst danach wird die technische Browserberechtigung angefragt.</w:t>
      </w:r>
    </w:p>
    <w:p>
      <w:pPr>
        <w:pStyle w:val="Compact"/>
        <w:numPr>
          <w:ilvl w:val="0"/>
          <w:numId w:val="1023"/>
        </w:numPr>
      </w:pPr>
      <w:r>
        <w:t xml:space="preserve">Browser gibt Subscription zurück.</w:t>
      </w:r>
    </w:p>
    <w:p>
      <w:pPr>
        <w:pStyle w:val="Compact"/>
        <w:numPr>
          <w:ilvl w:val="0"/>
          <w:numId w:val="1023"/>
        </w:numPr>
      </w:pPr>
      <w:r>
        <w:t xml:space="preserve">Subscription wird restaurantbezogen gespeichert.</w:t>
      </w:r>
    </w:p>
    <w:p>
      <w:pPr>
        <w:pStyle w:val="Compact"/>
        <w:numPr>
          <w:ilvl w:val="0"/>
          <w:numId w:val="1023"/>
        </w:numPr>
      </w:pPr>
      <w:r>
        <w:t xml:space="preserve">Consent wird</w:t>
      </w:r>
      <w:r>
        <w:t xml:space="preserve"> </w:t>
      </w:r>
      <w:r>
        <w:rPr>
          <w:rStyle w:val="VerbatimChar"/>
        </w:rPr>
        <w:t xml:space="preserve">ACTIVE</w:t>
      </w:r>
      <w:r>
        <w:t xml:space="preserve">, wenn beide Ebenen erfolgreich sind.</w:t>
      </w:r>
    </w:p>
    <w:p>
      <w:pPr>
        <w:pStyle w:val="FirstParagraph"/>
      </w:pPr>
      <w:r>
        <w:t xml:space="preserve">Lehnt der Browser ab:</w:t>
      </w:r>
    </w:p>
    <w:p>
      <w:pPr>
        <w:pStyle w:val="SourceCode"/>
      </w:pPr>
      <w:r>
        <w:rPr>
          <w:rStyle w:val="VerbatimChar"/>
        </w:rPr>
        <w:t xml:space="preserve">consent_status = REJECTED</w:t>
      </w:r>
      <w:r>
        <w:br/>
      </w:r>
      <w:r>
        <w:rPr>
          <w:rStyle w:val="VerbatimChar"/>
        </w:rPr>
        <w:t xml:space="preserve">technical_status = DENIED</w:t>
      </w:r>
    </w:p>
    <w:bookmarkEnd w:id="52"/>
    <w:bookmarkStart w:id="53" w:name="widerruf-1"/>
    <w:p>
      <w:pPr>
        <w:pStyle w:val="Heading2"/>
      </w:pPr>
      <w:r>
        <w:t xml:space="preserve">6.4 Widerruf</w:t>
      </w:r>
    </w:p>
    <w:p>
      <w:pPr>
        <w:pStyle w:val="FirstParagraph"/>
      </w:pPr>
      <w:r>
        <w:t xml:space="preserve">Ein Push-Widerruf muss:</w:t>
      </w:r>
    </w:p>
    <w:p>
      <w:pPr>
        <w:pStyle w:val="Compact"/>
        <w:numPr>
          <w:ilvl w:val="0"/>
          <w:numId w:val="1024"/>
        </w:numPr>
      </w:pPr>
      <w:r>
        <w:t xml:space="preserve">Marketingversand sofort stoppen;</w:t>
      </w:r>
    </w:p>
    <w:p>
      <w:pPr>
        <w:pStyle w:val="Compact"/>
        <w:numPr>
          <w:ilvl w:val="0"/>
          <w:numId w:val="1024"/>
        </w:numPr>
      </w:pPr>
      <w:r>
        <w:t xml:space="preserve">Subscription deaktivieren oder löschen;</w:t>
      </w:r>
    </w:p>
    <w:p>
      <w:pPr>
        <w:pStyle w:val="Compact"/>
        <w:numPr>
          <w:ilvl w:val="0"/>
          <w:numId w:val="1024"/>
        </w:numPr>
      </w:pPr>
      <w:r>
        <w:t xml:space="preserve">Consent-Historie bewahren;</w:t>
      </w:r>
    </w:p>
    <w:p>
      <w:pPr>
        <w:pStyle w:val="Compact"/>
        <w:numPr>
          <w:ilvl w:val="0"/>
          <w:numId w:val="1024"/>
        </w:numPr>
      </w:pPr>
      <w:r>
        <w:t xml:space="preserve">andere Kanäle nicht automatisch widerrufen.</w:t>
      </w:r>
    </w:p>
    <w:bookmarkEnd w:id="53"/>
    <w:bookmarkStart w:id="54" w:name="gerätewechsel"/>
    <w:p>
      <w:pPr>
        <w:pStyle w:val="Heading2"/>
      </w:pPr>
      <w:r>
        <w:t xml:space="preserve">6.5 Gerätewechsel</w:t>
      </w:r>
    </w:p>
    <w:p>
      <w:pPr>
        <w:pStyle w:val="FirstParagraph"/>
      </w:pPr>
      <w:r>
        <w:t xml:space="preserve">Eine Push-Einwilligung ist in der Regel an eine konkrete Subscription beziehungsweise ein Gerät gebunden.</w:t>
      </w:r>
    </w:p>
    <w:p>
      <w:pPr>
        <w:pStyle w:val="BodyText"/>
      </w:pPr>
      <w:r>
        <w:t xml:space="preserve">Neues Gerät:</w:t>
      </w:r>
    </w:p>
    <w:p>
      <w:pPr>
        <w:pStyle w:val="Compact"/>
        <w:numPr>
          <w:ilvl w:val="0"/>
          <w:numId w:val="1025"/>
        </w:numPr>
      </w:pPr>
      <w:r>
        <w:t xml:space="preserve">neuer technischer Permission-Vorgang;</w:t>
      </w:r>
    </w:p>
    <w:p>
      <w:pPr>
        <w:pStyle w:val="Compact"/>
        <w:numPr>
          <w:ilvl w:val="0"/>
          <w:numId w:val="1025"/>
        </w:numPr>
      </w:pPr>
      <w:r>
        <w:t xml:space="preserve">neue Subscription;</w:t>
      </w:r>
    </w:p>
    <w:p>
      <w:pPr>
        <w:pStyle w:val="Compact"/>
        <w:numPr>
          <w:ilvl w:val="0"/>
          <w:numId w:val="1025"/>
        </w:numPr>
      </w:pPr>
      <w:r>
        <w:t xml:space="preserve">eindeutige Zuordnung zum bestehenden Consent oder neuer Consent-Nachweis;</w:t>
      </w:r>
    </w:p>
    <w:p>
      <w:pPr>
        <w:pStyle w:val="Compact"/>
        <w:numPr>
          <w:ilvl w:val="0"/>
          <w:numId w:val="1025"/>
        </w:numPr>
      </w:pPr>
      <w:r>
        <w:t xml:space="preserve">keine blinde Kopie alter Push-Tokens.</w:t>
      </w:r>
    </w:p>
    <w:p>
      <w:r>
        <w:pict>
          <v:rect style="width:0;height:1.5pt" o:hralign="center" o:hrstd="t" o:hr="t"/>
        </w:pict>
      </w:r>
    </w:p>
    <w:bookmarkEnd w:id="54"/>
    <w:bookmarkEnd w:id="55"/>
    <w:bookmarkStart w:id="60" w:name="standortfreigabe"/>
    <w:p>
      <w:pPr>
        <w:pStyle w:val="Heading1"/>
      </w:pPr>
      <w:r>
        <w:t xml:space="preserve">7. Standortfreigabe</w:t>
      </w:r>
    </w:p>
    <w:bookmarkStart w:id="56" w:name="zweck-1"/>
    <w:p>
      <w:pPr>
        <w:pStyle w:val="Heading2"/>
      </w:pPr>
      <w:r>
        <w:t xml:space="preserve">7.1 Zweck</w:t>
      </w:r>
    </w:p>
    <w:p>
      <w:pPr>
        <w:pStyle w:val="FirstParagraph"/>
      </w:pPr>
      <w:r>
        <w:t xml:space="preserve">Standortdaten dürfen in V1 nur verwendet werden für:</w:t>
      </w:r>
    </w:p>
    <w:p>
      <w:pPr>
        <w:pStyle w:val="Compact"/>
        <w:numPr>
          <w:ilvl w:val="0"/>
          <w:numId w:val="1026"/>
        </w:numPr>
      </w:pPr>
      <w:r>
        <w:t xml:space="preserve">Entfernung zu Partnerrestaurants;</w:t>
      </w:r>
    </w:p>
    <w:p>
      <w:pPr>
        <w:pStyle w:val="Compact"/>
        <w:numPr>
          <w:ilvl w:val="0"/>
          <w:numId w:val="1026"/>
        </w:numPr>
      </w:pPr>
      <w:r>
        <w:t xml:space="preserve">Sortierung nach Nähe;</w:t>
      </w:r>
    </w:p>
    <w:p>
      <w:pPr>
        <w:pStyle w:val="Compact"/>
        <w:numPr>
          <w:ilvl w:val="0"/>
          <w:numId w:val="1026"/>
        </w:numPr>
      </w:pPr>
      <w:r>
        <w:t xml:space="preserve">Anzeige auf der Karte;</w:t>
      </w:r>
    </w:p>
    <w:p>
      <w:pPr>
        <w:pStyle w:val="Compact"/>
        <w:numPr>
          <w:ilvl w:val="0"/>
          <w:numId w:val="1026"/>
        </w:numPr>
      </w:pPr>
      <w:r>
        <w:t xml:space="preserve">Navigation zu einem ausgewählten Restaurant.</w:t>
      </w:r>
    </w:p>
    <w:bookmarkEnd w:id="56"/>
    <w:bookmarkStart w:id="57" w:name="text-vor-browserabfrage"/>
    <w:p>
      <w:pPr>
        <w:pStyle w:val="Heading2"/>
      </w:pPr>
      <w:r>
        <w:t xml:space="preserve">7.2 Text vor Browserabfrage</w:t>
      </w:r>
    </w:p>
    <w:p>
      <w:pPr>
        <w:pStyle w:val="BlockText"/>
      </w:pPr>
      <w:r>
        <w:t xml:space="preserve">Standort verwenden?</w:t>
      </w:r>
    </w:p>
    <w:p>
      <w:pPr>
        <w:pStyle w:val="BlockText"/>
      </w:pPr>
      <w:r>
        <w:t xml:space="preserve">Mit Ihrer freiwilligen Standortfreigabe kann WUXUAI Partnerrestaurants in Ihrer Nähe anzeigen und nach Entfernung sortieren. Die Teilnahme am Bonusprogramm ist auch ohne Standortfreigabe möglich. Sie können alternativ Restaurants über die Liste oder Suche finden.</w:t>
      </w:r>
    </w:p>
    <w:bookmarkEnd w:id="57"/>
    <w:bookmarkStart w:id="58" w:name="datenminimierung"/>
    <w:p>
      <w:pPr>
        <w:pStyle w:val="Heading2"/>
      </w:pPr>
      <w:r>
        <w:t xml:space="preserve">7.3 Datenminimierung</w:t>
      </w:r>
    </w:p>
    <w:p>
      <w:pPr>
        <w:pStyle w:val="FirstParagraph"/>
      </w:pPr>
      <w:r>
        <w:t xml:space="preserve">Empfohlene V1-Regel:</w:t>
      </w:r>
    </w:p>
    <w:p>
      <w:pPr>
        <w:pStyle w:val="Compact"/>
        <w:numPr>
          <w:ilvl w:val="0"/>
          <w:numId w:val="1027"/>
        </w:numPr>
      </w:pPr>
      <w:r>
        <w:t xml:space="preserve">Standort möglichst nur im aktuellen Nutzungsvorgang verarbeiten;</w:t>
      </w:r>
    </w:p>
    <w:p>
      <w:pPr>
        <w:pStyle w:val="Compact"/>
        <w:numPr>
          <w:ilvl w:val="0"/>
          <w:numId w:val="1027"/>
        </w:numPr>
      </w:pPr>
      <w:r>
        <w:t xml:space="preserve">keine dauerhafte Bewegungs- oder Standortchronik;</w:t>
      </w:r>
    </w:p>
    <w:p>
      <w:pPr>
        <w:pStyle w:val="Compact"/>
        <w:numPr>
          <w:ilvl w:val="0"/>
          <w:numId w:val="1027"/>
        </w:numPr>
      </w:pPr>
      <w:r>
        <w:t xml:space="preserve">keine Speicherung präziser Koordinaten im Gastprofil;</w:t>
      </w:r>
    </w:p>
    <w:p>
      <w:pPr>
        <w:pStyle w:val="Compact"/>
        <w:numPr>
          <w:ilvl w:val="0"/>
          <w:numId w:val="1027"/>
        </w:numPr>
      </w:pPr>
      <w:r>
        <w:t xml:space="preserve">keine Verwendung für Werbung ohne gesonderten Consent;</w:t>
      </w:r>
    </w:p>
    <w:p>
      <w:pPr>
        <w:pStyle w:val="Compact"/>
        <w:numPr>
          <w:ilvl w:val="0"/>
          <w:numId w:val="1027"/>
        </w:numPr>
      </w:pPr>
      <w:r>
        <w:t xml:space="preserve">keine Weitergabe an Restaurants;</w:t>
      </w:r>
    </w:p>
    <w:p>
      <w:pPr>
        <w:pStyle w:val="Compact"/>
        <w:numPr>
          <w:ilvl w:val="0"/>
          <w:numId w:val="1027"/>
        </w:numPr>
      </w:pPr>
      <w:r>
        <w:t xml:space="preserve">keine restaurantübergreifende Standortanalyse.</w:t>
      </w:r>
    </w:p>
    <w:bookmarkEnd w:id="58"/>
    <w:bookmarkStart w:id="59" w:name="alternative"/>
    <w:p>
      <w:pPr>
        <w:pStyle w:val="Heading2"/>
      </w:pPr>
      <w:r>
        <w:t xml:space="preserve">7.4 Alternative</w:t>
      </w:r>
    </w:p>
    <w:p>
      <w:pPr>
        <w:pStyle w:val="FirstParagraph"/>
      </w:pPr>
      <w:r>
        <w:t xml:space="preserve">Bei verweigerter Standortfreigabe müssen verfügbar bleiben:</w:t>
      </w:r>
    </w:p>
    <w:p>
      <w:pPr>
        <w:pStyle w:val="Compact"/>
        <w:numPr>
          <w:ilvl w:val="0"/>
          <w:numId w:val="1028"/>
        </w:numPr>
      </w:pPr>
      <w:r>
        <w:t xml:space="preserve">Restaurantsuche;</w:t>
      </w:r>
    </w:p>
    <w:p>
      <w:pPr>
        <w:pStyle w:val="Compact"/>
        <w:numPr>
          <w:ilvl w:val="0"/>
          <w:numId w:val="1028"/>
        </w:numPr>
      </w:pPr>
      <w:r>
        <w:t xml:space="preserve">Orts- oder PLZ-Eingabe;</w:t>
      </w:r>
    </w:p>
    <w:p>
      <w:pPr>
        <w:pStyle w:val="Compact"/>
        <w:numPr>
          <w:ilvl w:val="0"/>
          <w:numId w:val="1028"/>
        </w:numPr>
      </w:pPr>
      <w:r>
        <w:t xml:space="preserve">Partnerrestaurantliste;</w:t>
      </w:r>
    </w:p>
    <w:p>
      <w:pPr>
        <w:pStyle w:val="Compact"/>
        <w:numPr>
          <w:ilvl w:val="0"/>
          <w:numId w:val="1028"/>
        </w:numPr>
      </w:pPr>
      <w:r>
        <w:t xml:space="preserve">„Meine Restaurants“;</w:t>
      </w:r>
    </w:p>
    <w:p>
      <w:pPr>
        <w:pStyle w:val="Compact"/>
        <w:numPr>
          <w:ilvl w:val="0"/>
          <w:numId w:val="1028"/>
        </w:numPr>
      </w:pPr>
      <w:r>
        <w:t xml:space="preserve">Kartenansicht ohne eigene Position.</w:t>
      </w:r>
    </w:p>
    <w:p>
      <w:r>
        <w:pict>
          <v:rect style="width:0;height:1.5pt" o:hralign="center" o:hrstd="t" o:hr="t"/>
        </w:pict>
      </w:r>
    </w:p>
    <w:bookmarkEnd w:id="59"/>
    <w:bookmarkEnd w:id="60"/>
    <w:bookmarkStart w:id="66" w:name="cookies-und-vergleichbare-technologien"/>
    <w:p>
      <w:pPr>
        <w:pStyle w:val="Heading1"/>
      </w:pPr>
      <w:r>
        <w:t xml:space="preserve">8. Cookies und vergleichbare Technologien</w:t>
      </w:r>
    </w:p>
    <w:bookmarkStart w:id="61" w:name="notwendige-technologien"/>
    <w:p>
      <w:pPr>
        <w:pStyle w:val="Heading2"/>
      </w:pPr>
      <w:r>
        <w:t xml:space="preserve">8.1 Notwendige Technologien</w:t>
      </w:r>
    </w:p>
    <w:p>
      <w:pPr>
        <w:pStyle w:val="FirstParagraph"/>
      </w:pPr>
      <w:r>
        <w:t xml:space="preserve">Ohne zusätzliche Einwilligung dürfen nur solche Technologien verwendet werden, die für einen ausdrücklich gewünschten Dienst unbedingt erforderlich sind.</w:t>
      </w:r>
    </w:p>
    <w:p>
      <w:pPr>
        <w:pStyle w:val="BodyText"/>
      </w:pPr>
      <w:r>
        <w:t xml:space="preserve">Dazu können je nach Umsetzung gehören:</w:t>
      </w:r>
    </w:p>
    <w:p>
      <w:pPr>
        <w:pStyle w:val="Compact"/>
        <w:numPr>
          <w:ilvl w:val="0"/>
          <w:numId w:val="1029"/>
        </w:numPr>
      </w:pPr>
      <w:r>
        <w:t xml:space="preserve">Sessionverwaltung;</w:t>
      </w:r>
    </w:p>
    <w:p>
      <w:pPr>
        <w:pStyle w:val="Compact"/>
        <w:numPr>
          <w:ilvl w:val="0"/>
          <w:numId w:val="1029"/>
        </w:numPr>
      </w:pPr>
      <w:r>
        <w:t xml:space="preserve">Authentifizierung;</w:t>
      </w:r>
    </w:p>
    <w:p>
      <w:pPr>
        <w:pStyle w:val="Compact"/>
        <w:numPr>
          <w:ilvl w:val="0"/>
          <w:numId w:val="1029"/>
        </w:numPr>
      </w:pPr>
      <w:r>
        <w:t xml:space="preserve">CSRF-Schutz;</w:t>
      </w:r>
    </w:p>
    <w:p>
      <w:pPr>
        <w:pStyle w:val="Compact"/>
        <w:numPr>
          <w:ilvl w:val="0"/>
          <w:numId w:val="1029"/>
        </w:numPr>
      </w:pPr>
      <w:r>
        <w:t xml:space="preserve">Sicherheits- und Missbrauchsschutz;</w:t>
      </w:r>
    </w:p>
    <w:p>
      <w:pPr>
        <w:pStyle w:val="Compact"/>
        <w:numPr>
          <w:ilvl w:val="0"/>
          <w:numId w:val="1029"/>
        </w:numPr>
      </w:pPr>
      <w:r>
        <w:t xml:space="preserve">Spracheinstellung;</w:t>
      </w:r>
    </w:p>
    <w:p>
      <w:pPr>
        <w:pStyle w:val="Compact"/>
        <w:numPr>
          <w:ilvl w:val="0"/>
          <w:numId w:val="1029"/>
        </w:numPr>
      </w:pPr>
      <w:r>
        <w:t xml:space="preserve">Restaurantkontext;</w:t>
      </w:r>
    </w:p>
    <w:p>
      <w:pPr>
        <w:pStyle w:val="Compact"/>
        <w:numPr>
          <w:ilvl w:val="0"/>
          <w:numId w:val="1029"/>
        </w:numPr>
      </w:pPr>
      <w:r>
        <w:t xml:space="preserve">Warenkorb- oder Checkoutstatus;</w:t>
      </w:r>
    </w:p>
    <w:p>
      <w:pPr>
        <w:pStyle w:val="Compact"/>
        <w:numPr>
          <w:ilvl w:val="0"/>
          <w:numId w:val="1029"/>
        </w:numPr>
      </w:pPr>
      <w:r>
        <w:t xml:space="preserve">Consentstatus selbst.</w:t>
      </w:r>
    </w:p>
    <w:bookmarkEnd w:id="61"/>
    <w:bookmarkStart w:id="62" w:name="nicht-notwendige-technologien"/>
    <w:p>
      <w:pPr>
        <w:pStyle w:val="Heading2"/>
      </w:pPr>
      <w:r>
        <w:t xml:space="preserve">8.2 Nicht notwendige Technologien</w:t>
      </w:r>
    </w:p>
    <w:p>
      <w:pPr>
        <w:pStyle w:val="FirstParagraph"/>
      </w:pPr>
      <w:r>
        <w:t xml:space="preserve">Vor Aktivierung ist grundsätzlich eine wirksame Auswahl erforderlich, insbesondere bei:</w:t>
      </w:r>
    </w:p>
    <w:p>
      <w:pPr>
        <w:pStyle w:val="Compact"/>
        <w:numPr>
          <w:ilvl w:val="0"/>
          <w:numId w:val="1030"/>
        </w:numPr>
      </w:pPr>
      <w:r>
        <w:t xml:space="preserve">Analytics;</w:t>
      </w:r>
    </w:p>
    <w:p>
      <w:pPr>
        <w:pStyle w:val="Compact"/>
        <w:numPr>
          <w:ilvl w:val="0"/>
          <w:numId w:val="1030"/>
        </w:numPr>
      </w:pPr>
      <w:r>
        <w:t xml:space="preserve">Marketingtracking;</w:t>
      </w:r>
    </w:p>
    <w:p>
      <w:pPr>
        <w:pStyle w:val="Compact"/>
        <w:numPr>
          <w:ilvl w:val="0"/>
          <w:numId w:val="1030"/>
        </w:numPr>
      </w:pPr>
      <w:r>
        <w:t xml:space="preserve">Retargeting;</w:t>
      </w:r>
    </w:p>
    <w:p>
      <w:pPr>
        <w:pStyle w:val="Compact"/>
        <w:numPr>
          <w:ilvl w:val="0"/>
          <w:numId w:val="1030"/>
        </w:numPr>
      </w:pPr>
      <w:r>
        <w:t xml:space="preserve">Heatmaps;</w:t>
      </w:r>
    </w:p>
    <w:p>
      <w:pPr>
        <w:pStyle w:val="Compact"/>
        <w:numPr>
          <w:ilvl w:val="0"/>
          <w:numId w:val="1030"/>
        </w:numPr>
      </w:pPr>
      <w:r>
        <w:t xml:space="preserve">Session Recording;</w:t>
      </w:r>
    </w:p>
    <w:p>
      <w:pPr>
        <w:pStyle w:val="Compact"/>
        <w:numPr>
          <w:ilvl w:val="0"/>
          <w:numId w:val="1030"/>
        </w:numPr>
      </w:pPr>
      <w:r>
        <w:t xml:space="preserve">Drittanbieter-Werbung;</w:t>
      </w:r>
    </w:p>
    <w:p>
      <w:pPr>
        <w:pStyle w:val="Compact"/>
        <w:numPr>
          <w:ilvl w:val="0"/>
          <w:numId w:val="1030"/>
        </w:numPr>
      </w:pPr>
      <w:r>
        <w:t xml:space="preserve">nicht erforderlichen Social-Media-Inhalten;</w:t>
      </w:r>
    </w:p>
    <w:p>
      <w:pPr>
        <w:pStyle w:val="Compact"/>
        <w:numPr>
          <w:ilvl w:val="0"/>
          <w:numId w:val="1030"/>
        </w:numPr>
      </w:pPr>
      <w:r>
        <w:t xml:space="preserve">geräteübergreifendem Tracking.</w:t>
      </w:r>
    </w:p>
    <w:p>
      <w:pPr>
        <w:pStyle w:val="FirstParagraph"/>
      </w:pPr>
      <w:r>
        <w:t xml:space="preserve">Das TKG 2021 verlangt bei nicht unbedingt erforderlichen Speicher- oder Zugriffsvorgängen eine aktive Einwilligung auf Basis klarer und umfassender Informationen.</w:t>
      </w:r>
    </w:p>
    <w:bookmarkEnd w:id="62"/>
    <w:bookmarkStart w:id="63" w:name="consent-banner"/>
    <w:p>
      <w:pPr>
        <w:pStyle w:val="Heading2"/>
      </w:pPr>
      <w:r>
        <w:t xml:space="preserve">8.3 Consent-Banner</w:t>
      </w:r>
    </w:p>
    <w:p>
      <w:pPr>
        <w:pStyle w:val="FirstParagraph"/>
      </w:pPr>
      <w:r>
        <w:t xml:space="preserve">Empfohlene erste Ebene:</w:t>
      </w:r>
    </w:p>
    <w:p>
      <w:pPr>
        <w:pStyle w:val="BlockText"/>
      </w:pPr>
      <w:r>
        <w:t xml:space="preserve">Wir verwenden notwendige Technologien, damit Anmeldung, Sicherheit und Bonusfunktionen funktionieren. Optionale Statistik- oder Marketingtechnologien werden nur nach Ihrer Auswahl aktiviert.</w:t>
      </w:r>
    </w:p>
    <w:p>
      <w:pPr>
        <w:pStyle w:val="FirstParagraph"/>
      </w:pPr>
      <w:r>
        <w:t xml:space="preserve">Buttons:</w:t>
      </w:r>
    </w:p>
    <w:p>
      <w:pPr>
        <w:pStyle w:val="Compact"/>
        <w:numPr>
          <w:ilvl w:val="0"/>
          <w:numId w:val="1031"/>
        </w:numPr>
      </w:pPr>
      <w:r>
        <w:t xml:space="preserve">Nur notwendige;</w:t>
      </w:r>
    </w:p>
    <w:p>
      <w:pPr>
        <w:pStyle w:val="Compact"/>
        <w:numPr>
          <w:ilvl w:val="0"/>
          <w:numId w:val="1031"/>
        </w:numPr>
      </w:pPr>
      <w:r>
        <w:t xml:space="preserve">Auswahl speichern;</w:t>
      </w:r>
    </w:p>
    <w:p>
      <w:pPr>
        <w:pStyle w:val="Compact"/>
        <w:numPr>
          <w:ilvl w:val="0"/>
          <w:numId w:val="1031"/>
        </w:numPr>
      </w:pPr>
      <w:r>
        <w:t xml:space="preserve">Alle akzeptieren.</w:t>
      </w:r>
    </w:p>
    <w:p>
      <w:pPr>
        <w:pStyle w:val="FirstParagraph"/>
      </w:pPr>
      <w:r>
        <w:t xml:space="preserve">„Alle ablehnen“ beziehungsweise „Nur notwendige“ muss ähnlich einfach erreichbar sein wie „Alle akzeptieren“.</w:t>
      </w:r>
    </w:p>
    <w:bookmarkEnd w:id="63"/>
    <w:bookmarkStart w:id="64" w:name="kategorien"/>
    <w:p>
      <w:pPr>
        <w:pStyle w:val="Heading2"/>
      </w:pPr>
      <w:r>
        <w:t xml:space="preserve">8.4 Kategorien</w:t>
      </w:r>
    </w:p>
    <w:p>
      <w:pPr>
        <w:pStyle w:val="SourceCode"/>
      </w:pPr>
      <w:r>
        <w:rPr>
          <w:rStyle w:val="VerbatimChar"/>
        </w:rPr>
        <w:t xml:space="preserve">NECESSARY</w:t>
      </w:r>
      <w:r>
        <w:br/>
      </w:r>
      <w:r>
        <w:rPr>
          <w:rStyle w:val="VerbatimChar"/>
        </w:rPr>
        <w:t xml:space="preserve">PREFERENCES</w:t>
      </w:r>
      <w:r>
        <w:br/>
      </w:r>
      <w:r>
        <w:rPr>
          <w:rStyle w:val="VerbatimChar"/>
        </w:rPr>
        <w:t xml:space="preserve">ANALYTICS</w:t>
      </w:r>
      <w:r>
        <w:br/>
      </w:r>
      <w:r>
        <w:rPr>
          <w:rStyle w:val="VerbatimChar"/>
        </w:rPr>
        <w:t xml:space="preserve">MARKETING</w:t>
      </w:r>
    </w:p>
    <w:bookmarkEnd w:id="64"/>
    <w:bookmarkStart w:id="65" w:name="keine-irreführende-gestaltung"/>
    <w:p>
      <w:pPr>
        <w:pStyle w:val="Heading2"/>
      </w:pPr>
      <w:r>
        <w:t xml:space="preserve">8.5 Keine irreführende Gestaltung</w:t>
      </w:r>
    </w:p>
    <w:p>
      <w:pPr>
        <w:pStyle w:val="FirstParagraph"/>
      </w:pPr>
      <w:r>
        <w:t xml:space="preserve">Unzulässig:</w:t>
      </w:r>
    </w:p>
    <w:p>
      <w:pPr>
        <w:pStyle w:val="Compact"/>
        <w:numPr>
          <w:ilvl w:val="0"/>
          <w:numId w:val="1032"/>
        </w:numPr>
      </w:pPr>
      <w:r>
        <w:t xml:space="preserve">farblich verstecktes Ablehnen;</w:t>
      </w:r>
    </w:p>
    <w:p>
      <w:pPr>
        <w:pStyle w:val="Compact"/>
        <w:numPr>
          <w:ilvl w:val="0"/>
          <w:numId w:val="1032"/>
        </w:numPr>
      </w:pPr>
      <w:r>
        <w:t xml:space="preserve">vorangekreuzte optionale Kategorien;</w:t>
      </w:r>
    </w:p>
    <w:p>
      <w:pPr>
        <w:pStyle w:val="Compact"/>
        <w:numPr>
          <w:ilvl w:val="0"/>
          <w:numId w:val="1032"/>
        </w:numPr>
      </w:pPr>
      <w:r>
        <w:t xml:space="preserve">Cookie-Wall ohne rechtliche Prüfung;</w:t>
      </w:r>
    </w:p>
    <w:p>
      <w:pPr>
        <w:pStyle w:val="Compact"/>
        <w:numPr>
          <w:ilvl w:val="0"/>
          <w:numId w:val="1032"/>
        </w:numPr>
      </w:pPr>
      <w:r>
        <w:t xml:space="preserve">Aktivierung vor Auswahl;</w:t>
      </w:r>
    </w:p>
    <w:p>
      <w:pPr>
        <w:pStyle w:val="Compact"/>
        <w:numPr>
          <w:ilvl w:val="0"/>
          <w:numId w:val="1032"/>
        </w:numPr>
      </w:pPr>
      <w:r>
        <w:t xml:space="preserve">voreingestelltes „Alle akzeptieren“;</w:t>
      </w:r>
    </w:p>
    <w:p>
      <w:pPr>
        <w:pStyle w:val="Compact"/>
        <w:numPr>
          <w:ilvl w:val="0"/>
          <w:numId w:val="1032"/>
        </w:numPr>
      </w:pPr>
      <w:r>
        <w:t xml:space="preserve">unterschiedliche Klicktiefe zum Akzeptieren und Ablehnen.</w:t>
      </w:r>
    </w:p>
    <w:p>
      <w:r>
        <w:pict>
          <v:rect style="width:0;height:1.5pt" o:hralign="center" o:hrstd="t" o:hr="t"/>
        </w:pict>
      </w:r>
    </w:p>
    <w:bookmarkEnd w:id="65"/>
    <w:bookmarkEnd w:id="66"/>
    <w:bookmarkStart w:id="68" w:name="bestandskunden-ausnahme"/>
    <w:p>
      <w:pPr>
        <w:pStyle w:val="Heading1"/>
      </w:pPr>
      <w:r>
        <w:t xml:space="preserve">9. Bestandskunden-Ausnahme</w:t>
      </w:r>
    </w:p>
    <w:p>
      <w:pPr>
        <w:pStyle w:val="FirstParagraph"/>
      </w:pPr>
      <w:r>
        <w:t xml:space="preserve">Das österreichische TKG kennt eine begrenzte Ausnahme für Werbung an bestehende Kunden für eigene ähnliche Produkte oder Dienstleistungen, wenn sämtliche gesetzlichen Voraussetzungen erfüllt sind. Dazu gehören insbesondere die Erhebung im Zusammenhang mit Verkauf oder Dienstleistung sowie klare, kostenfreie Ablehnungsmöglichkeiten bei Erhebung und bei jeder Nachricht.</w:t>
      </w:r>
    </w:p>
    <w:bookmarkStart w:id="67" w:name="wuxuai-produktentscheidung"/>
    <w:p>
      <w:pPr>
        <w:pStyle w:val="Heading2"/>
      </w:pPr>
      <w:r>
        <w:t xml:space="preserve">WUXUAI-Produktentscheidung</w:t>
      </w:r>
    </w:p>
    <w:p>
      <w:pPr>
        <w:pStyle w:val="FirstParagraph"/>
      </w:pPr>
      <w:r>
        <w:t xml:space="preserve">Die Plattform soll diese Ausnahme in V1 nicht automatisch anwenden.</w:t>
      </w:r>
    </w:p>
    <w:p>
      <w:pPr>
        <w:pStyle w:val="BodyText"/>
      </w:pPr>
      <w:r>
        <w:t xml:space="preserve">Standardregel:</w:t>
      </w:r>
    </w:p>
    <w:p>
      <w:pPr>
        <w:pStyle w:val="SourceCode"/>
      </w:pPr>
      <w:r>
        <w:rPr>
          <w:rStyle w:val="VerbatimChar"/>
        </w:rPr>
        <w:t xml:space="preserve">Kein aktiver kanalbezogener Consent</w:t>
      </w:r>
      <w:r>
        <w:br/>
      </w:r>
      <w:r>
        <w:rPr>
          <w:rStyle w:val="VerbatimChar"/>
        </w:rPr>
        <w:t xml:space="preserve">= kein Marketingversand</w:t>
      </w:r>
    </w:p>
    <w:p>
      <w:pPr>
        <w:pStyle w:val="FirstParagraph"/>
      </w:pPr>
      <w:r>
        <w:t xml:space="preserve">Eine spätere Nutzung der Bestandskundenausnahme darf nur aktiviert werden, wenn:</w:t>
      </w:r>
    </w:p>
    <w:p>
      <w:pPr>
        <w:pStyle w:val="Compact"/>
        <w:numPr>
          <w:ilvl w:val="0"/>
          <w:numId w:val="1033"/>
        </w:numPr>
      </w:pPr>
      <w:r>
        <w:t xml:space="preserve">der österreichische Rechtsanwalt sie für den konkreten Flow freigibt;</w:t>
      </w:r>
    </w:p>
    <w:p>
      <w:pPr>
        <w:pStyle w:val="Compact"/>
        <w:numPr>
          <w:ilvl w:val="0"/>
          <w:numId w:val="1033"/>
        </w:numPr>
      </w:pPr>
      <w:r>
        <w:t xml:space="preserve">der Restaurant-Owner die Voraussetzungen ausdrücklich bestätigt;</w:t>
      </w:r>
    </w:p>
    <w:p>
      <w:pPr>
        <w:pStyle w:val="Compact"/>
        <w:numPr>
          <w:ilvl w:val="0"/>
          <w:numId w:val="1033"/>
        </w:numPr>
      </w:pPr>
      <w:r>
        <w:t xml:space="preserve">Kontaktquelle und Kundenbeziehung nachgewiesen werden;</w:t>
      </w:r>
    </w:p>
    <w:p>
      <w:pPr>
        <w:pStyle w:val="Compact"/>
        <w:numPr>
          <w:ilvl w:val="0"/>
          <w:numId w:val="1033"/>
        </w:numPr>
      </w:pPr>
      <w:r>
        <w:t xml:space="preserve">nur eigene ähnliche Leistungen beworben werden;</w:t>
      </w:r>
    </w:p>
    <w:p>
      <w:pPr>
        <w:pStyle w:val="Compact"/>
        <w:numPr>
          <w:ilvl w:val="0"/>
          <w:numId w:val="1033"/>
        </w:numPr>
      </w:pPr>
      <w:r>
        <w:t xml:space="preserve">Opt-out bei Erhebung dokumentiert wurde;</w:t>
      </w:r>
    </w:p>
    <w:p>
      <w:pPr>
        <w:pStyle w:val="Compact"/>
        <w:numPr>
          <w:ilvl w:val="0"/>
          <w:numId w:val="1033"/>
        </w:numPr>
      </w:pPr>
      <w:r>
        <w:t xml:space="preserve">jede Nachricht einen einfachen Opt-out enthält;</w:t>
      </w:r>
    </w:p>
    <w:p>
      <w:pPr>
        <w:pStyle w:val="Compact"/>
        <w:numPr>
          <w:ilvl w:val="0"/>
          <w:numId w:val="1033"/>
        </w:numPr>
      </w:pPr>
      <w:r>
        <w:t xml:space="preserve">Robinsonlisten und Sperrlisten geprüft werden;</w:t>
      </w:r>
    </w:p>
    <w:p>
      <w:pPr>
        <w:pStyle w:val="Compact"/>
        <w:numPr>
          <w:ilvl w:val="0"/>
          <w:numId w:val="1033"/>
        </w:numPr>
      </w:pPr>
      <w:r>
        <w:t xml:space="preserve">der Versand technisch getrennt gekennzeichnet wird.</w:t>
      </w:r>
    </w:p>
    <w:p>
      <w:r>
        <w:pict>
          <v:rect style="width:0;height:1.5pt" o:hralign="center" o:hrstd="t" o:hr="t"/>
        </w:pict>
      </w:r>
    </w:p>
    <w:bookmarkEnd w:id="67"/>
    <w:bookmarkEnd w:id="68"/>
    <w:bookmarkStart w:id="72" w:name="minderjährige"/>
    <w:p>
      <w:pPr>
        <w:pStyle w:val="Heading1"/>
      </w:pPr>
      <w:r>
        <w:t xml:space="preserve">10. Minderjährige</w:t>
      </w:r>
    </w:p>
    <w:bookmarkStart w:id="69" w:name="grundregel"/>
    <w:p>
      <w:pPr>
        <w:pStyle w:val="Heading2"/>
      </w:pPr>
      <w:r>
        <w:t xml:space="preserve">10.1 Grundregel</w:t>
      </w:r>
    </w:p>
    <w:p>
      <w:pPr>
        <w:pStyle w:val="FirstParagraph"/>
      </w:pPr>
      <w:r>
        <w:t xml:space="preserve">Die Teilnahme von Minderjährigen und die Wirksamkeit ihrer Einwilligungen müssen gesondert anwaltlich geprüft werden.</w:t>
      </w:r>
    </w:p>
    <w:bookmarkEnd w:id="69"/>
    <w:bookmarkStart w:id="70" w:name="empfohlene-v1-lösung"/>
    <w:p>
      <w:pPr>
        <w:pStyle w:val="Heading2"/>
      </w:pPr>
      <w:r>
        <w:t xml:space="preserve">10.2 Empfohlene V1-Lösung</w:t>
      </w:r>
    </w:p>
    <w:p>
      <w:pPr>
        <w:pStyle w:val="FirstParagraph"/>
      </w:pPr>
      <w:r>
        <w:t xml:space="preserve">Bis zur juristischen Freigabe:</w:t>
      </w:r>
    </w:p>
    <w:p>
      <w:pPr>
        <w:pStyle w:val="SourceCode"/>
      </w:pPr>
      <w:r>
        <w:rPr>
          <w:rStyle w:val="VerbatimChar"/>
        </w:rPr>
        <w:t xml:space="preserve">Teilnahme grundsätzlich erst ab 16 Jahren.</w:t>
      </w:r>
    </w:p>
    <w:p>
      <w:pPr>
        <w:pStyle w:val="FirstParagraph"/>
      </w:pPr>
      <w:r>
        <w:t xml:space="preserve">Alternativ kann ein höheres Mindestalter festgelegt werden.</w:t>
      </w:r>
    </w:p>
    <w:bookmarkEnd w:id="70"/>
    <w:bookmarkStart w:id="71" w:name="marketing"/>
    <w:p>
      <w:pPr>
        <w:pStyle w:val="Heading2"/>
      </w:pPr>
      <w:r>
        <w:t xml:space="preserve">10.3 Marketing</w:t>
      </w:r>
    </w:p>
    <w:p>
      <w:pPr>
        <w:pStyle w:val="FirstParagraph"/>
      </w:pPr>
      <w:r>
        <w:t xml:space="preserve">Marketing an Minderjährige soll in V1 nicht gezielt durchgeführt werden.</w:t>
      </w:r>
    </w:p>
    <w:p>
      <w:pPr>
        <w:pStyle w:val="BodyText"/>
      </w:pPr>
      <w:r>
        <w:t xml:space="preserve">Kein Profiling aufgrund vermuteten Alters.</w:t>
      </w:r>
    </w:p>
    <w:p>
      <w:pPr>
        <w:pStyle w:val="BodyText"/>
      </w:pPr>
      <w:r>
        <w:t xml:space="preserve">Kein Versand alkoholbezogener Angebote an Minderjährige.</w:t>
      </w:r>
    </w:p>
    <w:p>
      <w:pPr>
        <w:pStyle w:val="BodyText"/>
      </w:pPr>
      <w:r>
        <w:t xml:space="preserve">Keine Verwendung irreführender oder ausnutzender Ansprache.</w:t>
      </w:r>
    </w:p>
    <w:p>
      <w:r>
        <w:pict>
          <v:rect style="width:0;height:1.5pt" o:hralign="center" o:hrstd="t" o:hr="t"/>
        </w:pict>
      </w:r>
    </w:p>
    <w:bookmarkEnd w:id="71"/>
    <w:bookmarkEnd w:id="72"/>
    <w:bookmarkStart w:id="76" w:name="consent-datenmodell"/>
    <w:p>
      <w:pPr>
        <w:pStyle w:val="Heading1"/>
      </w:pPr>
      <w:r>
        <w:t xml:space="preserve">11. Consent-Datenmodell</w:t>
      </w:r>
    </w:p>
    <w:p>
      <w:pPr>
        <w:pStyle w:val="FirstParagraph"/>
      </w:pPr>
      <w:r>
        <w:t xml:space="preserve">Für jeden Consent:</w:t>
      </w:r>
    </w:p>
    <w:p>
      <w:pPr>
        <w:pStyle w:val="SourceCode"/>
      </w:pPr>
      <w:r>
        <w:rPr>
          <w:rStyle w:val="VerbatimChar"/>
        </w:rPr>
        <w:t xml:space="preserve">id</w:t>
      </w:r>
      <w:r>
        <w:br/>
      </w:r>
      <w:r>
        <w:rPr>
          <w:rStyle w:val="VerbatimChar"/>
        </w:rPr>
        <w:t xml:space="preserve">customer_id</w:t>
      </w:r>
      <w:r>
        <w:br/>
      </w:r>
      <w:r>
        <w:rPr>
          <w:rStyle w:val="VerbatimChar"/>
        </w:rPr>
        <w:t xml:space="preserve">restaurant_id</w:t>
      </w:r>
      <w:r>
        <w:br/>
      </w:r>
      <w:r>
        <w:rPr>
          <w:rStyle w:val="VerbatimChar"/>
        </w:rPr>
        <w:t xml:space="preserve">restaurant_legal_entity_id</w:t>
      </w:r>
      <w:r>
        <w:br/>
      </w:r>
      <w:r>
        <w:rPr>
          <w:rStyle w:val="VerbatimChar"/>
        </w:rPr>
        <w:t xml:space="preserve">channel</w:t>
      </w:r>
      <w:r>
        <w:br/>
      </w:r>
      <w:r>
        <w:rPr>
          <w:rStyle w:val="VerbatimChar"/>
        </w:rPr>
        <w:t xml:space="preserve">purpose_code</w:t>
      </w:r>
      <w:r>
        <w:br/>
      </w:r>
      <w:r>
        <w:rPr>
          <w:rStyle w:val="VerbatimChar"/>
        </w:rPr>
        <w:t xml:space="preserve">status</w:t>
      </w:r>
      <w:r>
        <w:br/>
      </w:r>
      <w:r>
        <w:rPr>
          <w:rStyle w:val="VerbatimChar"/>
        </w:rPr>
        <w:t xml:space="preserve">consent_text</w:t>
      </w:r>
      <w:r>
        <w:br/>
      </w:r>
      <w:r>
        <w:rPr>
          <w:rStyle w:val="VerbatimChar"/>
        </w:rPr>
        <w:t xml:space="preserve">consent_text_version</w:t>
      </w:r>
      <w:r>
        <w:br/>
      </w:r>
      <w:r>
        <w:rPr>
          <w:rStyle w:val="VerbatimChar"/>
        </w:rPr>
        <w:t xml:space="preserve">consent_text_hash</w:t>
      </w:r>
      <w:r>
        <w:br/>
      </w:r>
      <w:r>
        <w:rPr>
          <w:rStyle w:val="VerbatimChar"/>
        </w:rPr>
        <w:t xml:space="preserve">language</w:t>
      </w:r>
      <w:r>
        <w:br/>
      </w:r>
      <w:r>
        <w:rPr>
          <w:rStyle w:val="VerbatimChar"/>
        </w:rPr>
        <w:t xml:space="preserve">collection_source</w:t>
      </w:r>
      <w:r>
        <w:br/>
      </w:r>
      <w:r>
        <w:rPr>
          <w:rStyle w:val="VerbatimChar"/>
        </w:rPr>
        <w:t xml:space="preserve">granted_at</w:t>
      </w:r>
      <w:r>
        <w:br/>
      </w:r>
      <w:r>
        <w:rPr>
          <w:rStyle w:val="VerbatimChar"/>
        </w:rPr>
        <w:t xml:space="preserve">confirmation_required</w:t>
      </w:r>
      <w:r>
        <w:br/>
      </w:r>
      <w:r>
        <w:rPr>
          <w:rStyle w:val="VerbatimChar"/>
        </w:rPr>
        <w:t xml:space="preserve">confirmation_method</w:t>
      </w:r>
      <w:r>
        <w:br/>
      </w:r>
      <w:r>
        <w:rPr>
          <w:rStyle w:val="VerbatimChar"/>
        </w:rPr>
        <w:t xml:space="preserve">confirmation_sent_at</w:t>
      </w:r>
      <w:r>
        <w:br/>
      </w:r>
      <w:r>
        <w:rPr>
          <w:rStyle w:val="VerbatimChar"/>
        </w:rPr>
        <w:t xml:space="preserve">confirmed_at</w:t>
      </w:r>
      <w:r>
        <w:br/>
      </w:r>
      <w:r>
        <w:rPr>
          <w:rStyle w:val="VerbatimChar"/>
        </w:rPr>
        <w:t xml:space="preserve">confirmation_reference_hash</w:t>
      </w:r>
      <w:r>
        <w:br/>
      </w:r>
      <w:r>
        <w:rPr>
          <w:rStyle w:val="VerbatimChar"/>
        </w:rPr>
        <w:t xml:space="preserve">expires_at</w:t>
      </w:r>
      <w:r>
        <w:br/>
      </w:r>
      <w:r>
        <w:rPr>
          <w:rStyle w:val="VerbatimChar"/>
        </w:rPr>
        <w:t xml:space="preserve">withdrawn_at</w:t>
      </w:r>
      <w:r>
        <w:br/>
      </w:r>
      <w:r>
        <w:rPr>
          <w:rStyle w:val="VerbatimChar"/>
        </w:rPr>
        <w:t xml:space="preserve">withdrawal_source</w:t>
      </w:r>
      <w:r>
        <w:br/>
      </w:r>
      <w:r>
        <w:rPr>
          <w:rStyle w:val="VerbatimChar"/>
        </w:rPr>
        <w:t xml:space="preserve">withdrawal_reason_optional</w:t>
      </w:r>
      <w:r>
        <w:br/>
      </w:r>
      <w:r>
        <w:rPr>
          <w:rStyle w:val="VerbatimChar"/>
        </w:rPr>
        <w:t xml:space="preserve">technical_subscription_id</w:t>
      </w:r>
      <w:r>
        <w:br/>
      </w:r>
      <w:r>
        <w:rPr>
          <w:rStyle w:val="VerbatimChar"/>
        </w:rPr>
        <w:t xml:space="preserve">technical_status</w:t>
      </w:r>
      <w:r>
        <w:br/>
      </w:r>
      <w:r>
        <w:rPr>
          <w:rStyle w:val="VerbatimChar"/>
        </w:rPr>
        <w:t xml:space="preserve">last_delivery_at</w:t>
      </w:r>
      <w:r>
        <w:br/>
      </w:r>
      <w:r>
        <w:rPr>
          <w:rStyle w:val="VerbatimChar"/>
        </w:rPr>
        <w:t xml:space="preserve">last_bounce_at</w:t>
      </w:r>
      <w:r>
        <w:br/>
      </w:r>
      <w:r>
        <w:rPr>
          <w:rStyle w:val="VerbatimChar"/>
        </w:rPr>
        <w:t xml:space="preserve">created_at</w:t>
      </w:r>
      <w:r>
        <w:br/>
      </w:r>
      <w:r>
        <w:rPr>
          <w:rStyle w:val="VerbatimChar"/>
        </w:rPr>
        <w:t xml:space="preserve">updated_at</w:t>
      </w:r>
    </w:p>
    <w:bookmarkStart w:id="73" w:name="statuswerte"/>
    <w:p>
      <w:pPr>
        <w:pStyle w:val="Heading2"/>
      </w:pPr>
      <w:r>
        <w:t xml:space="preserve">11.1 Statuswerte</w:t>
      </w:r>
    </w:p>
    <w:p>
      <w:pPr>
        <w:pStyle w:val="SourceCode"/>
      </w:pPr>
      <w:r>
        <w:rPr>
          <w:rStyle w:val="VerbatimChar"/>
        </w:rPr>
        <w:t xml:space="preserve">PENDING</w:t>
      </w:r>
      <w:r>
        <w:br/>
      </w:r>
      <w:r>
        <w:rPr>
          <w:rStyle w:val="VerbatimChar"/>
        </w:rPr>
        <w:t xml:space="preserve">ACTIVE</w:t>
      </w:r>
      <w:r>
        <w:br/>
      </w:r>
      <w:r>
        <w:rPr>
          <w:rStyle w:val="VerbatimChar"/>
        </w:rPr>
        <w:t xml:space="preserve">WITHDRAWN</w:t>
      </w:r>
      <w:r>
        <w:br/>
      </w:r>
      <w:r>
        <w:rPr>
          <w:rStyle w:val="VerbatimChar"/>
        </w:rPr>
        <w:t xml:space="preserve">REJECTED</w:t>
      </w:r>
      <w:r>
        <w:br/>
      </w:r>
      <w:r>
        <w:rPr>
          <w:rStyle w:val="VerbatimChar"/>
        </w:rPr>
        <w:t xml:space="preserve">EXPIRED</w:t>
      </w:r>
      <w:r>
        <w:br/>
      </w:r>
      <w:r>
        <w:rPr>
          <w:rStyle w:val="VerbatimChar"/>
        </w:rPr>
        <w:t xml:space="preserve">BOUNCED</w:t>
      </w:r>
      <w:r>
        <w:br/>
      </w:r>
      <w:r>
        <w:rPr>
          <w:rStyle w:val="VerbatimChar"/>
        </w:rPr>
        <w:t xml:space="preserve">INVALID</w:t>
      </w:r>
      <w:r>
        <w:br/>
      </w:r>
      <w:r>
        <w:rPr>
          <w:rStyle w:val="VerbatimChar"/>
        </w:rPr>
        <w:t xml:space="preserve">SUPERSEDED</w:t>
      </w:r>
    </w:p>
    <w:bookmarkEnd w:id="73"/>
    <w:bookmarkStart w:id="74" w:name="nachweis-metadaten"/>
    <w:p>
      <w:pPr>
        <w:pStyle w:val="Heading2"/>
      </w:pPr>
      <w:r>
        <w:t xml:space="preserve">11.2 Nachweis-Metadaten</w:t>
      </w:r>
    </w:p>
    <w:p>
      <w:pPr>
        <w:pStyle w:val="FirstParagraph"/>
      </w:pPr>
      <w:r>
        <w:t xml:space="preserve">Zusätzlich speicherbar:</w:t>
      </w:r>
    </w:p>
    <w:p>
      <w:pPr>
        <w:pStyle w:val="SourceCode"/>
      </w:pPr>
      <w:r>
        <w:rPr>
          <w:rStyle w:val="VerbatimChar"/>
        </w:rPr>
        <w:t xml:space="preserve">registration_flow_version</w:t>
      </w:r>
      <w:r>
        <w:br/>
      </w:r>
      <w:r>
        <w:rPr>
          <w:rStyle w:val="VerbatimChar"/>
        </w:rPr>
        <w:t xml:space="preserve">screen_identifier</w:t>
      </w:r>
      <w:r>
        <w:br/>
      </w:r>
      <w:r>
        <w:rPr>
          <w:rStyle w:val="VerbatimChar"/>
        </w:rPr>
        <w:t xml:space="preserve">session_reference</w:t>
      </w:r>
      <w:r>
        <w:br/>
      </w:r>
      <w:r>
        <w:rPr>
          <w:rStyle w:val="VerbatimChar"/>
        </w:rPr>
        <w:t xml:space="preserve">user_agent_summary</w:t>
      </w:r>
      <w:r>
        <w:br/>
      </w:r>
      <w:r>
        <w:rPr>
          <w:rStyle w:val="VerbatimChar"/>
        </w:rPr>
        <w:t xml:space="preserve">country_or_locale</w:t>
      </w:r>
      <w:r>
        <w:br/>
      </w:r>
      <w:r>
        <w:rPr>
          <w:rStyle w:val="VerbatimChar"/>
        </w:rPr>
        <w:t xml:space="preserve">proof_event_id</w:t>
      </w:r>
    </w:p>
    <w:p>
      <w:pPr>
        <w:pStyle w:val="FirstParagraph"/>
      </w:pPr>
      <w:r>
        <w:t xml:space="preserve">Keine vollständige IP-Adresse soll dauerhaft gespeichert werden, sofern kein konkreter rechtlicher und sicherheitsbezogener Bedarf bestätigt wurde.</w:t>
      </w:r>
    </w:p>
    <w:bookmarkEnd w:id="74"/>
    <w:bookmarkStart w:id="75" w:name="unveränderbarkeit"/>
    <w:p>
      <w:pPr>
        <w:pStyle w:val="Heading2"/>
      </w:pPr>
      <w:r>
        <w:t xml:space="preserve">11.3 Unveränderbarkeit</w:t>
      </w:r>
    </w:p>
    <w:p>
      <w:pPr>
        <w:pStyle w:val="FirstParagraph"/>
      </w:pPr>
      <w:r>
        <w:t xml:space="preserve">Nicht überschreibbar:</w:t>
      </w:r>
    </w:p>
    <w:p>
      <w:pPr>
        <w:pStyle w:val="Compact"/>
        <w:numPr>
          <w:ilvl w:val="0"/>
          <w:numId w:val="1034"/>
        </w:numPr>
      </w:pPr>
      <w:r>
        <w:t xml:space="preserve">ursprünglicher Text;</w:t>
      </w:r>
    </w:p>
    <w:p>
      <w:pPr>
        <w:pStyle w:val="Compact"/>
        <w:numPr>
          <w:ilvl w:val="0"/>
          <w:numId w:val="1034"/>
        </w:numPr>
      </w:pPr>
      <w:r>
        <w:t xml:space="preserve">Textversion;</w:t>
      </w:r>
    </w:p>
    <w:p>
      <w:pPr>
        <w:pStyle w:val="Compact"/>
        <w:numPr>
          <w:ilvl w:val="0"/>
          <w:numId w:val="1034"/>
        </w:numPr>
      </w:pPr>
      <w:r>
        <w:t xml:space="preserve">Hash;</w:t>
      </w:r>
    </w:p>
    <w:p>
      <w:pPr>
        <w:pStyle w:val="Compact"/>
        <w:numPr>
          <w:ilvl w:val="0"/>
          <w:numId w:val="1034"/>
        </w:numPr>
      </w:pPr>
      <w:r>
        <w:t xml:space="preserve">Zeitpunkt;</w:t>
      </w:r>
    </w:p>
    <w:p>
      <w:pPr>
        <w:pStyle w:val="Compact"/>
        <w:numPr>
          <w:ilvl w:val="0"/>
          <w:numId w:val="1034"/>
        </w:numPr>
      </w:pPr>
      <w:r>
        <w:t xml:space="preserve">Restaurant;</w:t>
      </w:r>
    </w:p>
    <w:p>
      <w:pPr>
        <w:pStyle w:val="Compact"/>
        <w:numPr>
          <w:ilvl w:val="0"/>
          <w:numId w:val="1034"/>
        </w:numPr>
      </w:pPr>
      <w:r>
        <w:t xml:space="preserve">Kanal;</w:t>
      </w:r>
    </w:p>
    <w:p>
      <w:pPr>
        <w:pStyle w:val="Compact"/>
        <w:numPr>
          <w:ilvl w:val="0"/>
          <w:numId w:val="1034"/>
        </w:numPr>
      </w:pPr>
      <w:r>
        <w:t xml:space="preserve">Zweck;</w:t>
      </w:r>
    </w:p>
    <w:p>
      <w:pPr>
        <w:pStyle w:val="Compact"/>
        <w:numPr>
          <w:ilvl w:val="0"/>
          <w:numId w:val="1034"/>
        </w:numPr>
      </w:pPr>
      <w:r>
        <w:t xml:space="preserve">Bestätigungsmethode.</w:t>
      </w:r>
    </w:p>
    <w:p>
      <w:pPr>
        <w:pStyle w:val="FirstParagraph"/>
      </w:pPr>
      <w:r>
        <w:t xml:space="preserve">Änderungen erfolgen als neue Ereignisse.</w:t>
      </w:r>
    </w:p>
    <w:p>
      <w:r>
        <w:pict>
          <v:rect style="width:0;height:1.5pt" o:hralign="center" o:hrstd="t" o:hr="t"/>
        </w:pict>
      </w:r>
    </w:p>
    <w:bookmarkEnd w:id="75"/>
    <w:bookmarkEnd w:id="76"/>
    <w:bookmarkStart w:id="77" w:name="consent-event-log"/>
    <w:p>
      <w:pPr>
        <w:pStyle w:val="Heading1"/>
      </w:pPr>
      <w:r>
        <w:t xml:space="preserve">12. Consent-Event-Log</w:t>
      </w:r>
    </w:p>
    <w:p>
      <w:pPr>
        <w:pStyle w:val="FirstParagraph"/>
      </w:pPr>
      <w:r>
        <w:t xml:space="preserve">Jede Aktion erzeugt ein Ereignis:</w:t>
      </w:r>
    </w:p>
    <w:p>
      <w:pPr>
        <w:pStyle w:val="SourceCode"/>
      </w:pPr>
      <w:r>
        <w:rPr>
          <w:rStyle w:val="VerbatimChar"/>
        </w:rPr>
        <w:t xml:space="preserve">CONSENT_REQUESTED</w:t>
      </w:r>
      <w:r>
        <w:br/>
      </w:r>
      <w:r>
        <w:rPr>
          <w:rStyle w:val="VerbatimChar"/>
        </w:rPr>
        <w:t xml:space="preserve">CONSENT_GRANTED</w:t>
      </w:r>
      <w:r>
        <w:br/>
      </w:r>
      <w:r>
        <w:rPr>
          <w:rStyle w:val="VerbatimChar"/>
        </w:rPr>
        <w:t xml:space="preserve">CONFIRMATION_SENT</w:t>
      </w:r>
      <w:r>
        <w:br/>
      </w:r>
      <w:r>
        <w:rPr>
          <w:rStyle w:val="VerbatimChar"/>
        </w:rPr>
        <w:t xml:space="preserve">CONSENT_CONFIRMED</w:t>
      </w:r>
      <w:r>
        <w:br/>
      </w:r>
      <w:r>
        <w:rPr>
          <w:rStyle w:val="VerbatimChar"/>
        </w:rPr>
        <w:t xml:space="preserve">CONSENT_REJECTED</w:t>
      </w:r>
      <w:r>
        <w:br/>
      </w:r>
      <w:r>
        <w:rPr>
          <w:rStyle w:val="VerbatimChar"/>
        </w:rPr>
        <w:t xml:space="preserve">CONSENT_WITHDRAWN</w:t>
      </w:r>
      <w:r>
        <w:br/>
      </w:r>
      <w:r>
        <w:rPr>
          <w:rStyle w:val="VerbatimChar"/>
        </w:rPr>
        <w:t xml:space="preserve">CONSENT_EXPIRED</w:t>
      </w:r>
      <w:r>
        <w:br/>
      </w:r>
      <w:r>
        <w:rPr>
          <w:rStyle w:val="VerbatimChar"/>
        </w:rPr>
        <w:t xml:space="preserve">DELIVERY_BLOCKED</w:t>
      </w:r>
      <w:r>
        <w:br/>
      </w:r>
      <w:r>
        <w:rPr>
          <w:rStyle w:val="VerbatimChar"/>
        </w:rPr>
        <w:t xml:space="preserve">DELIVERY_SENT</w:t>
      </w:r>
      <w:r>
        <w:br/>
      </w:r>
      <w:r>
        <w:rPr>
          <w:rStyle w:val="VerbatimChar"/>
        </w:rPr>
        <w:t xml:space="preserve">DELIVERY_BOUNCED</w:t>
      </w:r>
      <w:r>
        <w:br/>
      </w:r>
      <w:r>
        <w:rPr>
          <w:rStyle w:val="VerbatimChar"/>
        </w:rPr>
        <w:t xml:space="preserve">COMPLAINT_RECORDED</w:t>
      </w:r>
      <w:r>
        <w:br/>
      </w:r>
      <w:r>
        <w:rPr>
          <w:rStyle w:val="VerbatimChar"/>
        </w:rPr>
        <w:t xml:space="preserve">SUPPRESSION_ADDED</w:t>
      </w:r>
      <w:r>
        <w:br/>
      </w:r>
      <w:r>
        <w:rPr>
          <w:rStyle w:val="VerbatimChar"/>
        </w:rPr>
        <w:t xml:space="preserve">SUPPRESSION_REMOVED</w:t>
      </w:r>
    </w:p>
    <w:p>
      <w:pPr>
        <w:pStyle w:val="FirstParagraph"/>
      </w:pPr>
      <w:r>
        <w:t xml:space="preserve">Ereignisfelder:</w:t>
      </w:r>
    </w:p>
    <w:p>
      <w:pPr>
        <w:pStyle w:val="SourceCode"/>
      </w:pPr>
      <w:r>
        <w:rPr>
          <w:rStyle w:val="VerbatimChar"/>
        </w:rPr>
        <w:t xml:space="preserve">event_id</w:t>
      </w:r>
      <w:r>
        <w:br/>
      </w:r>
      <w:r>
        <w:rPr>
          <w:rStyle w:val="VerbatimChar"/>
        </w:rPr>
        <w:t xml:space="preserve">consent_id</w:t>
      </w:r>
      <w:r>
        <w:br/>
      </w:r>
      <w:r>
        <w:rPr>
          <w:rStyle w:val="VerbatimChar"/>
        </w:rPr>
        <w:t xml:space="preserve">customer_id</w:t>
      </w:r>
      <w:r>
        <w:br/>
      </w:r>
      <w:r>
        <w:rPr>
          <w:rStyle w:val="VerbatimChar"/>
        </w:rPr>
        <w:t xml:space="preserve">restaurant_id</w:t>
      </w:r>
      <w:r>
        <w:br/>
      </w:r>
      <w:r>
        <w:rPr>
          <w:rStyle w:val="VerbatimChar"/>
        </w:rPr>
        <w:t xml:space="preserve">event_type</w:t>
      </w:r>
      <w:r>
        <w:br/>
      </w:r>
      <w:r>
        <w:rPr>
          <w:rStyle w:val="VerbatimChar"/>
        </w:rPr>
        <w:t xml:space="preserve">event_at</w:t>
      </w:r>
      <w:r>
        <w:br/>
      </w:r>
      <w:r>
        <w:rPr>
          <w:rStyle w:val="VerbatimChar"/>
        </w:rPr>
        <w:t xml:space="preserve">source</w:t>
      </w:r>
      <w:r>
        <w:br/>
      </w:r>
      <w:r>
        <w:rPr>
          <w:rStyle w:val="VerbatimChar"/>
        </w:rPr>
        <w:t xml:space="preserve">actor_type</w:t>
      </w:r>
      <w:r>
        <w:br/>
      </w:r>
      <w:r>
        <w:rPr>
          <w:rStyle w:val="VerbatimChar"/>
        </w:rPr>
        <w:t xml:space="preserve">actor_id</w:t>
      </w:r>
      <w:r>
        <w:br/>
      </w:r>
      <w:r>
        <w:rPr>
          <w:rStyle w:val="VerbatimChar"/>
        </w:rPr>
        <w:t xml:space="preserve">channel</w:t>
      </w:r>
      <w:r>
        <w:br/>
      </w:r>
      <w:r>
        <w:rPr>
          <w:rStyle w:val="VerbatimChar"/>
        </w:rPr>
        <w:t xml:space="preserve">purpose</w:t>
      </w:r>
      <w:r>
        <w:br/>
      </w:r>
      <w:r>
        <w:rPr>
          <w:rStyle w:val="VerbatimChar"/>
        </w:rPr>
        <w:t xml:space="preserve">metadata</w:t>
      </w:r>
      <w:r>
        <w:br/>
      </w:r>
      <w:r>
        <w:rPr>
          <w:rStyle w:val="VerbatimChar"/>
        </w:rPr>
        <w:t xml:space="preserve">previous_status</w:t>
      </w:r>
      <w:r>
        <w:br/>
      </w:r>
      <w:r>
        <w:rPr>
          <w:rStyle w:val="VerbatimChar"/>
        </w:rPr>
        <w:t xml:space="preserve">new_status</w:t>
      </w:r>
    </w:p>
    <w:p>
      <w:r>
        <w:pict>
          <v:rect style="width:0;height:1.5pt" o:hralign="center" o:hrstd="t" o:hr="t"/>
        </w:pict>
      </w:r>
    </w:p>
    <w:bookmarkEnd w:id="77"/>
    <w:bookmarkStart w:id="81" w:name="suppression--und-sperrlisten"/>
    <w:p>
      <w:pPr>
        <w:pStyle w:val="Heading1"/>
      </w:pPr>
      <w:r>
        <w:t xml:space="preserve">13. Suppression- und Sperrlisten</w:t>
      </w:r>
    </w:p>
    <w:bookmarkStart w:id="78" w:name="zweck-2"/>
    <w:p>
      <w:pPr>
        <w:pStyle w:val="Heading2"/>
      </w:pPr>
      <w:r>
        <w:t xml:space="preserve">13.1 Zweck</w:t>
      </w:r>
    </w:p>
    <w:p>
      <w:pPr>
        <w:pStyle w:val="FirstParagraph"/>
      </w:pPr>
      <w:r>
        <w:t xml:space="preserve">Ein Widerruf darf nicht dadurch unwirksam werden, dass:</w:t>
      </w:r>
    </w:p>
    <w:p>
      <w:pPr>
        <w:pStyle w:val="Compact"/>
        <w:numPr>
          <w:ilvl w:val="0"/>
          <w:numId w:val="1035"/>
        </w:numPr>
      </w:pPr>
      <w:r>
        <w:t xml:space="preserve">ein Kontakt erneut importiert wird;</w:t>
      </w:r>
    </w:p>
    <w:p>
      <w:pPr>
        <w:pStyle w:val="Compact"/>
        <w:numPr>
          <w:ilvl w:val="0"/>
          <w:numId w:val="1035"/>
        </w:numPr>
      </w:pPr>
      <w:r>
        <w:t xml:space="preserve">das Konto neu registriert wird;</w:t>
      </w:r>
    </w:p>
    <w:p>
      <w:pPr>
        <w:pStyle w:val="Compact"/>
        <w:numPr>
          <w:ilvl w:val="0"/>
          <w:numId w:val="1035"/>
        </w:numPr>
      </w:pPr>
      <w:r>
        <w:t xml:space="preserve">ein Restaurant eine neue Kampagne erstellt;</w:t>
      </w:r>
    </w:p>
    <w:p>
      <w:pPr>
        <w:pStyle w:val="Compact"/>
        <w:numPr>
          <w:ilvl w:val="0"/>
          <w:numId w:val="1035"/>
        </w:numPr>
      </w:pPr>
      <w:r>
        <w:t xml:space="preserve">eine alte Versandliste verwendet wird.</w:t>
      </w:r>
    </w:p>
    <w:bookmarkEnd w:id="78"/>
    <w:bookmarkStart w:id="79" w:name="daten"/>
    <w:p>
      <w:pPr>
        <w:pStyle w:val="Heading2"/>
      </w:pPr>
      <w:r>
        <w:t xml:space="preserve">13.2 Daten</w:t>
      </w:r>
    </w:p>
    <w:p>
      <w:pPr>
        <w:pStyle w:val="FirstParagraph"/>
      </w:pPr>
      <w:r>
        <w:t xml:space="preserve">Die Sperrliste soll möglichst minimiert enthalten:</w:t>
      </w:r>
    </w:p>
    <w:p>
      <w:pPr>
        <w:pStyle w:val="Compact"/>
        <w:numPr>
          <w:ilvl w:val="0"/>
          <w:numId w:val="1036"/>
        </w:numPr>
      </w:pPr>
      <w:r>
        <w:t xml:space="preserve">gehashte oder sicher gespeicherte Kontaktkennung;</w:t>
      </w:r>
    </w:p>
    <w:p>
      <w:pPr>
        <w:pStyle w:val="Compact"/>
        <w:numPr>
          <w:ilvl w:val="0"/>
          <w:numId w:val="1036"/>
        </w:numPr>
      </w:pPr>
      <w:r>
        <w:t xml:space="preserve">Restaurant;</w:t>
      </w:r>
    </w:p>
    <w:p>
      <w:pPr>
        <w:pStyle w:val="Compact"/>
        <w:numPr>
          <w:ilvl w:val="0"/>
          <w:numId w:val="1036"/>
        </w:numPr>
      </w:pPr>
      <w:r>
        <w:t xml:space="preserve">Kanal;</w:t>
      </w:r>
    </w:p>
    <w:p>
      <w:pPr>
        <w:pStyle w:val="Compact"/>
        <w:numPr>
          <w:ilvl w:val="0"/>
          <w:numId w:val="1036"/>
        </w:numPr>
      </w:pPr>
      <w:r>
        <w:t xml:space="preserve">Sperrgrund;</w:t>
      </w:r>
    </w:p>
    <w:p>
      <w:pPr>
        <w:pStyle w:val="Compact"/>
        <w:numPr>
          <w:ilvl w:val="0"/>
          <w:numId w:val="1036"/>
        </w:numPr>
      </w:pPr>
      <w:r>
        <w:t xml:space="preserve">Sperrzeitpunkt;</w:t>
      </w:r>
    </w:p>
    <w:p>
      <w:pPr>
        <w:pStyle w:val="Compact"/>
        <w:numPr>
          <w:ilvl w:val="0"/>
          <w:numId w:val="1036"/>
        </w:numPr>
      </w:pPr>
      <w:r>
        <w:t xml:space="preserve">Quelle;</w:t>
      </w:r>
    </w:p>
    <w:p>
      <w:pPr>
        <w:pStyle w:val="Compact"/>
        <w:numPr>
          <w:ilvl w:val="0"/>
          <w:numId w:val="1036"/>
        </w:numPr>
      </w:pPr>
      <w:r>
        <w:t xml:space="preserve">gesetzliche Aufbewahrungsgrundlage.</w:t>
      </w:r>
    </w:p>
    <w:bookmarkEnd w:id="79"/>
    <w:bookmarkStart w:id="80" w:name="keine-versehentliche-reaktivierung"/>
    <w:p>
      <w:pPr>
        <w:pStyle w:val="Heading2"/>
      </w:pPr>
      <w:r>
        <w:t xml:space="preserve">13.3 Keine versehentliche Reaktivierung</w:t>
      </w:r>
    </w:p>
    <w:p>
      <w:pPr>
        <w:pStyle w:val="FirstParagraph"/>
      </w:pPr>
      <w:r>
        <w:t xml:space="preserve">Eine erneute Einwilligung nach Widerruf benötigt:</w:t>
      </w:r>
    </w:p>
    <w:p>
      <w:pPr>
        <w:pStyle w:val="Compact"/>
        <w:numPr>
          <w:ilvl w:val="0"/>
          <w:numId w:val="1037"/>
        </w:numPr>
      </w:pPr>
      <w:r>
        <w:t xml:space="preserve">eine neue aktive Handlung;</w:t>
      </w:r>
    </w:p>
    <w:p>
      <w:pPr>
        <w:pStyle w:val="Compact"/>
        <w:numPr>
          <w:ilvl w:val="0"/>
          <w:numId w:val="1037"/>
        </w:numPr>
      </w:pPr>
      <w:r>
        <w:t xml:space="preserve">neuen Textnachweis;</w:t>
      </w:r>
    </w:p>
    <w:p>
      <w:pPr>
        <w:pStyle w:val="Compact"/>
        <w:numPr>
          <w:ilvl w:val="0"/>
          <w:numId w:val="1037"/>
        </w:numPr>
      </w:pPr>
      <w:r>
        <w:t xml:space="preserve">gegebenenfalls neues Double-Opt-in;</w:t>
      </w:r>
    </w:p>
    <w:p>
      <w:pPr>
        <w:pStyle w:val="Compact"/>
        <w:numPr>
          <w:ilvl w:val="0"/>
          <w:numId w:val="1037"/>
        </w:numPr>
      </w:pPr>
      <w:r>
        <w:t xml:space="preserve">neues Consent-Objekt oder eindeutig neue Version.</w:t>
      </w:r>
    </w:p>
    <w:p>
      <w:r>
        <w:pict>
          <v:rect style="width:0;height:1.5pt" o:hralign="center" o:hrstd="t" o:hr="t"/>
        </w:pict>
      </w:r>
    </w:p>
    <w:bookmarkEnd w:id="80"/>
    <w:bookmarkEnd w:id="81"/>
    <w:bookmarkStart w:id="82" w:name="versand-gate"/>
    <w:p>
      <w:pPr>
        <w:pStyle w:val="Heading1"/>
      </w:pPr>
      <w:r>
        <w:t xml:space="preserve">14. Versand-Gate</w:t>
      </w:r>
    </w:p>
    <w:p>
      <w:pPr>
        <w:pStyle w:val="FirstParagraph"/>
      </w:pPr>
      <w:r>
        <w:t xml:space="preserve">Vor jeder Marketingnachricht muss serverseitig geprüft werden:</w:t>
      </w:r>
    </w:p>
    <w:p>
      <w:pPr>
        <w:pStyle w:val="SourceCode"/>
      </w:pPr>
      <w:r>
        <w:rPr>
          <w:rStyle w:val="VerbatimChar"/>
        </w:rPr>
        <w:t xml:space="preserve">1. Restaurant aktiv?</w:t>
      </w:r>
      <w:r>
        <w:br/>
      </w:r>
      <w:r>
        <w:rPr>
          <w:rStyle w:val="VerbatimChar"/>
        </w:rPr>
        <w:t xml:space="preserve">2. Programm aktiv?</w:t>
      </w:r>
      <w:r>
        <w:br/>
      </w:r>
      <w:r>
        <w:rPr>
          <w:rStyle w:val="VerbatimChar"/>
        </w:rPr>
        <w:t xml:space="preserve">3. Kanal aktiviert?</w:t>
      </w:r>
      <w:r>
        <w:br/>
      </w:r>
      <w:r>
        <w:rPr>
          <w:rStyle w:val="VerbatimChar"/>
        </w:rPr>
        <w:t xml:space="preserve">4. Kunde nicht gelöscht?</w:t>
      </w:r>
      <w:r>
        <w:br/>
      </w:r>
      <w:r>
        <w:rPr>
          <w:rStyle w:val="VerbatimChar"/>
        </w:rPr>
        <w:t xml:space="preserve">5. Kunde nicht gesperrt?</w:t>
      </w:r>
      <w:r>
        <w:br/>
      </w:r>
      <w:r>
        <w:rPr>
          <w:rStyle w:val="VerbatimChar"/>
        </w:rPr>
        <w:t xml:space="preserve">6. Consent vorhanden?</w:t>
      </w:r>
      <w:r>
        <w:br/>
      </w:r>
      <w:r>
        <w:rPr>
          <w:rStyle w:val="VerbatimChar"/>
        </w:rPr>
        <w:t xml:space="preserve">7. Consentstatus ACTIVE?</w:t>
      </w:r>
      <w:r>
        <w:br/>
      </w:r>
      <w:r>
        <w:rPr>
          <w:rStyle w:val="VerbatimChar"/>
        </w:rPr>
        <w:t xml:space="preserve">8. Richtiger Restaurantkontext?</w:t>
      </w:r>
      <w:r>
        <w:br/>
      </w:r>
      <w:r>
        <w:rPr>
          <w:rStyle w:val="VerbatimChar"/>
        </w:rPr>
        <w:t xml:space="preserve">9. Richtiger Zweck?</w:t>
      </w:r>
      <w:r>
        <w:br/>
      </w:r>
      <w:r>
        <w:rPr>
          <w:rStyle w:val="VerbatimChar"/>
        </w:rPr>
        <w:t xml:space="preserve">10. Richtige Kontaktadresse?</w:t>
      </w:r>
      <w:r>
        <w:br/>
      </w:r>
      <w:r>
        <w:rPr>
          <w:rStyle w:val="VerbatimChar"/>
        </w:rPr>
        <w:t xml:space="preserve">11. Kein Widerruf?</w:t>
      </w:r>
      <w:r>
        <w:br/>
      </w:r>
      <w:r>
        <w:rPr>
          <w:rStyle w:val="VerbatimChar"/>
        </w:rPr>
        <w:t xml:space="preserve">12. Keine Suppression?</w:t>
      </w:r>
      <w:r>
        <w:br/>
      </w:r>
      <w:r>
        <w:rPr>
          <w:rStyle w:val="VerbatimChar"/>
        </w:rPr>
        <w:t xml:space="preserve">13. Kein Hard Bounce?</w:t>
      </w:r>
      <w:r>
        <w:br/>
      </w:r>
      <w:r>
        <w:rPr>
          <w:rStyle w:val="VerbatimChar"/>
        </w:rPr>
        <w:t xml:space="preserve">14. Kein Ablauf?</w:t>
      </w:r>
      <w:r>
        <w:br/>
      </w:r>
      <w:r>
        <w:rPr>
          <w:rStyle w:val="VerbatimChar"/>
        </w:rPr>
        <w:t xml:space="preserve">15. Zulässige Versandzeit?</w:t>
      </w:r>
      <w:r>
        <w:br/>
      </w:r>
      <w:r>
        <w:rPr>
          <w:rStyle w:val="VerbatimChar"/>
        </w:rPr>
        <w:t xml:space="preserve">16. Rate Limit eingehalten?</w:t>
      </w:r>
      <w:r>
        <w:br/>
      </w:r>
      <w:r>
        <w:rPr>
          <w:rStyle w:val="VerbatimChar"/>
        </w:rPr>
        <w:t xml:space="preserve">17. Kampagne rechtlich freigegeben?</w:t>
      </w:r>
      <w:r>
        <w:br/>
      </w:r>
      <w:r>
        <w:rPr>
          <w:rStyle w:val="VerbatimChar"/>
        </w:rPr>
        <w:t xml:space="preserve">18. Absender und Impressum vorhanden?</w:t>
      </w:r>
      <w:r>
        <w:br/>
      </w:r>
      <w:r>
        <w:rPr>
          <w:rStyle w:val="VerbatimChar"/>
        </w:rPr>
        <w:t xml:space="preserve">19. Abmeldemöglichkeit vorhanden?</w:t>
      </w:r>
      <w:r>
        <w:br/>
      </w:r>
      <w:r>
        <w:rPr>
          <w:rStyle w:val="VerbatimChar"/>
        </w:rPr>
        <w:t xml:space="preserve">20. Audit-Ereignis erstellt?</w:t>
      </w:r>
    </w:p>
    <w:p>
      <w:pPr>
        <w:pStyle w:val="FirstParagraph"/>
      </w:pPr>
      <w:r>
        <w:t xml:space="preserve">Falls eine Prüfung fehlschlägt:</w:t>
      </w:r>
    </w:p>
    <w:p>
      <w:pPr>
        <w:pStyle w:val="SourceCode"/>
      </w:pPr>
      <w:r>
        <w:rPr>
          <w:rStyle w:val="VerbatimChar"/>
        </w:rPr>
        <w:t xml:space="preserve">DELIVERY_BLOCKED</w:t>
      </w:r>
    </w:p>
    <w:p>
      <w:pPr>
        <w:pStyle w:val="FirstParagraph"/>
      </w:pPr>
      <w:r>
        <w:t xml:space="preserve">Die konkrete Blockierungsursache wird intern protokolliert.</w:t>
      </w:r>
    </w:p>
    <w:p>
      <w:r>
        <w:pict>
          <v:rect style="width:0;height:1.5pt" o:hralign="center" o:hrstd="t" o:hr="t"/>
        </w:pict>
      </w:r>
    </w:p>
    <w:bookmarkEnd w:id="82"/>
    <w:bookmarkStart w:id="83" w:name="owner-regeln"/>
    <w:p>
      <w:pPr>
        <w:pStyle w:val="Heading1"/>
      </w:pPr>
      <w:r>
        <w:t xml:space="preserve">15. Owner-Regeln</w:t>
      </w:r>
    </w:p>
    <w:p>
      <w:pPr>
        <w:pStyle w:val="FirstParagraph"/>
      </w:pPr>
      <w:r>
        <w:t xml:space="preserve">Restaurant-Owner dürfen:</w:t>
      </w:r>
    </w:p>
    <w:p>
      <w:pPr>
        <w:pStyle w:val="Compact"/>
        <w:numPr>
          <w:ilvl w:val="0"/>
          <w:numId w:val="1038"/>
        </w:numPr>
      </w:pPr>
      <w:r>
        <w:t xml:space="preserve">Marketingkanäle aktivieren;</w:t>
      </w:r>
    </w:p>
    <w:p>
      <w:pPr>
        <w:pStyle w:val="Compact"/>
        <w:numPr>
          <w:ilvl w:val="0"/>
          <w:numId w:val="1038"/>
        </w:numPr>
      </w:pPr>
      <w:r>
        <w:t xml:space="preserve">geprüfte Consent-Vorlagen auswählen;</w:t>
      </w:r>
    </w:p>
    <w:p>
      <w:pPr>
        <w:pStyle w:val="Compact"/>
        <w:numPr>
          <w:ilvl w:val="0"/>
          <w:numId w:val="1038"/>
        </w:numPr>
      </w:pPr>
      <w:r>
        <w:t xml:space="preserve">Kampagnen planen;</w:t>
      </w:r>
    </w:p>
    <w:p>
      <w:pPr>
        <w:pStyle w:val="Compact"/>
        <w:numPr>
          <w:ilvl w:val="0"/>
          <w:numId w:val="1038"/>
        </w:numPr>
      </w:pPr>
      <w:r>
        <w:t xml:space="preserve">Consentzahlen aggregiert sehen;</w:t>
      </w:r>
    </w:p>
    <w:p>
      <w:pPr>
        <w:pStyle w:val="Compact"/>
        <w:numPr>
          <w:ilvl w:val="0"/>
          <w:numId w:val="1038"/>
        </w:numPr>
      </w:pPr>
      <w:r>
        <w:t xml:space="preserve">Widerrufszahlen sehen.</w:t>
      </w:r>
    </w:p>
    <w:p>
      <w:pPr>
        <w:pStyle w:val="FirstParagraph"/>
      </w:pPr>
      <w:r>
        <w:t xml:space="preserve">Restaurant-Owner dürfen nicht:</w:t>
      </w:r>
    </w:p>
    <w:p>
      <w:pPr>
        <w:pStyle w:val="Compact"/>
        <w:numPr>
          <w:ilvl w:val="0"/>
          <w:numId w:val="1039"/>
        </w:numPr>
      </w:pPr>
      <w:r>
        <w:t xml:space="preserve">widerrufene Consents reaktivieren;</w:t>
      </w:r>
    </w:p>
    <w:p>
      <w:pPr>
        <w:pStyle w:val="Compact"/>
        <w:numPr>
          <w:ilvl w:val="0"/>
          <w:numId w:val="1039"/>
        </w:numPr>
      </w:pPr>
      <w:r>
        <w:t xml:space="preserve">Consentzeitpunkte verändern;</w:t>
      </w:r>
    </w:p>
    <w:p>
      <w:pPr>
        <w:pStyle w:val="Compact"/>
        <w:numPr>
          <w:ilvl w:val="0"/>
          <w:numId w:val="1039"/>
        </w:numPr>
      </w:pPr>
      <w:r>
        <w:t xml:space="preserve">Double-Opt-in umgehen;</w:t>
      </w:r>
    </w:p>
    <w:p>
      <w:pPr>
        <w:pStyle w:val="Compact"/>
        <w:numPr>
          <w:ilvl w:val="0"/>
          <w:numId w:val="1039"/>
        </w:numPr>
      </w:pPr>
      <w:r>
        <w:t xml:space="preserve">Empfänger ohne Versandberechtigung erzwingen;</w:t>
      </w:r>
    </w:p>
    <w:p>
      <w:pPr>
        <w:pStyle w:val="Compact"/>
        <w:numPr>
          <w:ilvl w:val="0"/>
          <w:numId w:val="1039"/>
        </w:numPr>
      </w:pPr>
      <w:r>
        <w:t xml:space="preserve">Sperrlisten löschen;</w:t>
      </w:r>
    </w:p>
    <w:p>
      <w:pPr>
        <w:pStyle w:val="Compact"/>
        <w:numPr>
          <w:ilvl w:val="0"/>
          <w:numId w:val="1039"/>
        </w:numPr>
      </w:pPr>
      <w:r>
        <w:t xml:space="preserve">Einwilligungstexte nachträglich für alte Consents verändern;</w:t>
      </w:r>
    </w:p>
    <w:p>
      <w:pPr>
        <w:pStyle w:val="Compact"/>
        <w:numPr>
          <w:ilvl w:val="0"/>
          <w:numId w:val="1039"/>
        </w:numPr>
      </w:pPr>
      <w:r>
        <w:t xml:space="preserve">Restaurant-A-Consents für Restaurant B verwenden.</w:t>
      </w:r>
    </w:p>
    <w:p>
      <w:r>
        <w:pict>
          <v:rect style="width:0;height:1.5pt" o:hralign="center" o:hrstd="t" o:hr="t"/>
        </w:pict>
      </w:r>
    </w:p>
    <w:bookmarkEnd w:id="83"/>
    <w:bookmarkStart w:id="84" w:name="kundenseitiges-consent-center"/>
    <w:p>
      <w:pPr>
        <w:pStyle w:val="Heading1"/>
      </w:pPr>
      <w:r>
        <w:t xml:space="preserve">16. Kundenseitiges Consent Center</w:t>
      </w:r>
    </w:p>
    <w:p>
      <w:pPr>
        <w:pStyle w:val="FirstParagraph"/>
      </w:pPr>
      <w:r>
        <w:t xml:space="preserve">Unter:</w:t>
      </w:r>
    </w:p>
    <w:p>
      <w:pPr>
        <w:pStyle w:val="SourceCode"/>
      </w:pPr>
      <w:r>
        <w:rPr>
          <w:rStyle w:val="VerbatimChar"/>
        </w:rPr>
        <w:t xml:space="preserve">/account/legal/consents</w:t>
      </w:r>
    </w:p>
    <w:p>
      <w:pPr>
        <w:pStyle w:val="FirstParagraph"/>
      </w:pPr>
      <w:r>
        <w:t xml:space="preserve">Anzeige je Restaurant:</w:t>
      </w:r>
    </w:p>
    <w:p>
      <w:pPr>
        <w:pStyle w:val="Compact"/>
        <w:numPr>
          <w:ilvl w:val="0"/>
          <w:numId w:val="1040"/>
        </w:numPr>
      </w:pPr>
      <w:r>
        <w:t xml:space="preserve">E-Mail-Marketing: aktiv/inaktiv/ausstehend;</w:t>
      </w:r>
    </w:p>
    <w:p>
      <w:pPr>
        <w:pStyle w:val="Compact"/>
        <w:numPr>
          <w:ilvl w:val="0"/>
          <w:numId w:val="1040"/>
        </w:numPr>
      </w:pPr>
      <w:r>
        <w:t xml:space="preserve">SMS-Marketing: aktiv/inaktiv/ausstehend;</w:t>
      </w:r>
    </w:p>
    <w:p>
      <w:pPr>
        <w:pStyle w:val="Compact"/>
        <w:numPr>
          <w:ilvl w:val="0"/>
          <w:numId w:val="1040"/>
        </w:numPr>
      </w:pPr>
      <w:r>
        <w:t xml:space="preserve">Push: aktiv/inaktiv/technisch blockiert;</w:t>
      </w:r>
    </w:p>
    <w:p>
      <w:pPr>
        <w:pStyle w:val="Compact"/>
        <w:numPr>
          <w:ilvl w:val="0"/>
          <w:numId w:val="1040"/>
        </w:numPr>
      </w:pPr>
      <w:r>
        <w:t xml:space="preserve">Standort: Gerätestatus beziehungsweise Information;</w:t>
      </w:r>
    </w:p>
    <w:p>
      <w:pPr>
        <w:pStyle w:val="Compact"/>
        <w:numPr>
          <w:ilvl w:val="0"/>
          <w:numId w:val="1040"/>
        </w:numPr>
      </w:pPr>
      <w:r>
        <w:t xml:space="preserve">Einwilligungsdatum;</w:t>
      </w:r>
    </w:p>
    <w:p>
      <w:pPr>
        <w:pStyle w:val="Compact"/>
        <w:numPr>
          <w:ilvl w:val="0"/>
          <w:numId w:val="1040"/>
        </w:numPr>
      </w:pPr>
      <w:r>
        <w:t xml:space="preserve">Zweck;</w:t>
      </w:r>
    </w:p>
    <w:p>
      <w:pPr>
        <w:pStyle w:val="Compact"/>
        <w:numPr>
          <w:ilvl w:val="0"/>
          <w:numId w:val="1040"/>
        </w:numPr>
      </w:pPr>
      <w:r>
        <w:t xml:space="preserve">Widerrufsbutton;</w:t>
      </w:r>
    </w:p>
    <w:p>
      <w:pPr>
        <w:pStyle w:val="Compact"/>
        <w:numPr>
          <w:ilvl w:val="0"/>
          <w:numId w:val="1040"/>
        </w:numPr>
      </w:pPr>
      <w:r>
        <w:t xml:space="preserve">Datenschutzerklärung;</w:t>
      </w:r>
    </w:p>
    <w:p>
      <w:pPr>
        <w:pStyle w:val="Compact"/>
        <w:numPr>
          <w:ilvl w:val="0"/>
          <w:numId w:val="1040"/>
        </w:numPr>
      </w:pPr>
      <w:r>
        <w:t xml:space="preserve">Kontakt des Verantwortlichen.</w:t>
      </w:r>
    </w:p>
    <w:p>
      <w:pPr>
        <w:pStyle w:val="FirstParagraph"/>
      </w:pPr>
      <w:r>
        <w:t xml:space="preserve">Widerrufsbutton:</w:t>
      </w:r>
    </w:p>
    <w:p>
      <w:pPr>
        <w:pStyle w:val="BlockText"/>
      </w:pPr>
      <w:r>
        <w:t xml:space="preserve">Einwilligung widerrufen</w:t>
      </w:r>
    </w:p>
    <w:p>
      <w:pPr>
        <w:pStyle w:val="FirstParagraph"/>
      </w:pPr>
      <w:r>
        <w:t xml:space="preserve">Bestätigung:</w:t>
      </w:r>
    </w:p>
    <w:p>
      <w:pPr>
        <w:pStyle w:val="BlockText"/>
      </w:pPr>
      <w:r>
        <w:t xml:space="preserve">Ihre Einwilligung wurde widerrufen. Sie erhalten über diesen Kanal keine weiteren Marketingnachrichten dieses Restaurants. Bereits erfolgte Verarbeitungen bleiben hiervon unberührt.</w:t>
      </w:r>
    </w:p>
    <w:p>
      <w:r>
        <w:pict>
          <v:rect style="width:0;height:1.5pt" o:hralign="center" o:hrstd="t" o:hr="t"/>
        </w:pict>
      </w:r>
    </w:p>
    <w:bookmarkEnd w:id="84"/>
    <w:bookmarkStart w:id="87" w:name="pflichttexte-bei-registrierung"/>
    <w:p>
      <w:pPr>
        <w:pStyle w:val="Heading1"/>
      </w:pPr>
      <w:r>
        <w:t xml:space="preserve">17. Pflichttexte bei Registrierung</w:t>
      </w:r>
    </w:p>
    <w:bookmarkStart w:id="85" w:name="pflichtfelder"/>
    <w:p>
      <w:pPr>
        <w:pStyle w:val="Heading2"/>
      </w:pPr>
      <w:r>
        <w:t xml:space="preserve">17.1 Pflichtfelder</w:t>
      </w:r>
    </w:p>
    <w:p>
      <w:pPr>
        <w:pStyle w:val="BlockText"/>
      </w:pPr>
      <w:r>
        <w:t xml:space="preserve">[ ] Ich akzeptiere die Teilnahmebedingungen von</w:t>
      </w:r>
      <w:r>
        <w:t xml:space="preserve"> </w:t>
      </w:r>
      <w:r>
        <w:rPr>
          <w:b/>
          <w:bCs/>
        </w:rPr>
        <w:t xml:space="preserve">[RESTAURANT_RECHTSTRAEGER]</w:t>
      </w:r>
      <w:r>
        <w:t xml:space="preserve">.</w:t>
      </w:r>
    </w:p>
    <w:p>
      <w:pPr>
        <w:pStyle w:val="BlockText"/>
      </w:pPr>
      <w:r>
        <w:t xml:space="preserve">[ ] Ich habe die Datenschutzerklärung von</w:t>
      </w:r>
      <w:r>
        <w:t xml:space="preserve"> </w:t>
      </w:r>
      <w:r>
        <w:rPr>
          <w:b/>
          <w:bCs/>
        </w:rPr>
        <w:t xml:space="preserve">[RESTAURANT_RECHTSTRAEGER]</w:t>
      </w:r>
      <w:r>
        <w:t xml:space="preserve"> </w:t>
      </w:r>
      <w:r>
        <w:t xml:space="preserve">zur Kenntnis genommen.</w:t>
      </w:r>
    </w:p>
    <w:bookmarkEnd w:id="85"/>
    <w:bookmarkStart w:id="86" w:name="optionale-felder"/>
    <w:p>
      <w:pPr>
        <w:pStyle w:val="Heading2"/>
      </w:pPr>
      <w:r>
        <w:t xml:space="preserve">17.2 Optionale Felder</w:t>
      </w:r>
    </w:p>
    <w:p>
      <w:pPr>
        <w:pStyle w:val="BlockText"/>
      </w:pPr>
      <w:r>
        <w:t xml:space="preserve">[ ] Ich möchte per E-Mail Angebote, Aktionen und Neuigkeiten von</w:t>
      </w:r>
      <w:r>
        <w:t xml:space="preserve"> </w:t>
      </w:r>
      <w:r>
        <w:rPr>
          <w:b/>
          <w:bCs/>
        </w:rPr>
        <w:t xml:space="preserve">[RESTAURANT_MARKE]</w:t>
      </w:r>
      <w:r>
        <w:t xml:space="preserve"> </w:t>
      </w:r>
      <w:r>
        <w:t xml:space="preserve">erhalten.</w:t>
      </w:r>
    </w:p>
    <w:p>
      <w:pPr>
        <w:pStyle w:val="BlockText"/>
      </w:pPr>
      <w:r>
        <w:t xml:space="preserve">[ ] Ich möchte per SMS Angebote, Aktionen und Neuigkeiten von</w:t>
      </w:r>
      <w:r>
        <w:t xml:space="preserve"> </w:t>
      </w:r>
      <w:r>
        <w:rPr>
          <w:b/>
          <w:bCs/>
        </w:rPr>
        <w:t xml:space="preserve">[RESTAURANT_MARKE]</w:t>
      </w:r>
      <w:r>
        <w:t xml:space="preserve"> </w:t>
      </w:r>
      <w:r>
        <w:t xml:space="preserve">erhalten.</w:t>
      </w:r>
    </w:p>
    <w:p>
      <w:pPr>
        <w:pStyle w:val="BlockText"/>
      </w:pPr>
      <w:r>
        <w:t xml:space="preserve">[ ] Ich möchte Push-Benachrichtigungen zu Rewards, Aktionen und Neuigkeiten von</w:t>
      </w:r>
      <w:r>
        <w:t xml:space="preserve"> </w:t>
      </w:r>
      <w:r>
        <w:rPr>
          <w:b/>
          <w:bCs/>
        </w:rPr>
        <w:t xml:space="preserve">[RESTAURANT_MARKE]</w:t>
      </w:r>
      <w:r>
        <w:t xml:space="preserve"> </w:t>
      </w:r>
      <w:r>
        <w:t xml:space="preserve">erhalten.</w:t>
      </w:r>
    </w:p>
    <w:p>
      <w:pPr>
        <w:pStyle w:val="FirstParagraph"/>
      </w:pPr>
      <w:r>
        <w:t xml:space="preserve">Keines der optionalen Felder darf Voraussetzung für die Registrierung sein.</w:t>
      </w:r>
    </w:p>
    <w:p>
      <w:r>
        <w:pict>
          <v:rect style="width:0;height:1.5pt" o:hralign="center" o:hrstd="t" o:hr="t"/>
        </w:pict>
      </w:r>
    </w:p>
    <w:bookmarkEnd w:id="86"/>
    <w:bookmarkEnd w:id="87"/>
    <w:bookmarkStart w:id="90" w:name="pflichttexte-für-wuxuai-owner"/>
    <w:p>
      <w:pPr>
        <w:pStyle w:val="Heading1"/>
      </w:pPr>
      <w:r>
        <w:t xml:space="preserve">18. Pflichttexte für WUXUAI-Owner</w:t>
      </w:r>
    </w:p>
    <w:bookmarkStart w:id="88" w:name="saas-kommunikation"/>
    <w:p>
      <w:pPr>
        <w:pStyle w:val="Heading2"/>
      </w:pPr>
      <w:r>
        <w:t xml:space="preserve">18.1 SaaS-Kommunikation</w:t>
      </w:r>
    </w:p>
    <w:p>
      <w:pPr>
        <w:pStyle w:val="BlockText"/>
      </w:pPr>
      <w:r>
        <w:t xml:space="preserve">Ich erhalte notwendige Mitteilungen zum Vertrag, zur Sicherheit, zu Abrechnung, Wartung und wesentlichen Plattformänderungen. Diese Mitteilungen sind Bestandteil der Vertragsdurchführung und keine freiwillige Marketingeinwilligung.</w:t>
      </w:r>
    </w:p>
    <w:bookmarkEnd w:id="88"/>
    <w:bookmarkStart w:id="89" w:name="wuxuai-marketing"/>
    <w:p>
      <w:pPr>
        <w:pStyle w:val="Heading2"/>
      </w:pPr>
      <w:r>
        <w:t xml:space="preserve">18.2 WUXUAI-Marketing</w:t>
      </w:r>
    </w:p>
    <w:p>
      <w:pPr>
        <w:pStyle w:val="FirstParagraph"/>
      </w:pPr>
      <w:r>
        <w:t xml:space="preserve">Separat:</w:t>
      </w:r>
    </w:p>
    <w:p>
      <w:pPr>
        <w:pStyle w:val="BlockText"/>
      </w:pPr>
      <w:r>
        <w:t xml:space="preserve">[ ] Ich möchte per E-Mail Informationen zu neuen WUXUAI-Funktionen, Angeboten und Veranstaltungen erhalten. Die Einwilligung ist freiwillig und jederzeit widerrufbar.</w:t>
      </w:r>
    </w:p>
    <w:p>
      <w:r>
        <w:pict>
          <v:rect style="width:0;height:1.5pt" o:hralign="center" o:hrstd="t" o:hr="t"/>
        </w:pict>
      </w:r>
    </w:p>
    <w:bookmarkEnd w:id="89"/>
    <w:bookmarkEnd w:id="90"/>
    <w:bookmarkStart w:id="91" w:name="aufbewahrung"/>
    <w:p>
      <w:pPr>
        <w:pStyle w:val="Heading1"/>
      </w:pPr>
      <w:r>
        <w:t xml:space="preserve">19. Aufbewahrung</w:t>
      </w:r>
    </w:p>
    <w:p>
      <w:pPr>
        <w:pStyle w:val="FirstParagraph"/>
      </w:pPr>
      <w:r>
        <w:t xml:space="preserve">Consent-Nachweise müssen so lange aufbewahrt werden, wie sie benötigt werden für:</w:t>
      </w:r>
    </w:p>
    <w:p>
      <w:pPr>
        <w:pStyle w:val="Compact"/>
        <w:numPr>
          <w:ilvl w:val="0"/>
          <w:numId w:val="1041"/>
        </w:numPr>
      </w:pPr>
      <w:r>
        <w:t xml:space="preserve">Nachweis der Versandberechtigung;</w:t>
      </w:r>
    </w:p>
    <w:p>
      <w:pPr>
        <w:pStyle w:val="Compact"/>
        <w:numPr>
          <w:ilvl w:val="0"/>
          <w:numId w:val="1041"/>
        </w:numPr>
      </w:pPr>
      <w:r>
        <w:t xml:space="preserve">Bearbeitung von Beschwerden;</w:t>
      </w:r>
    </w:p>
    <w:p>
      <w:pPr>
        <w:pStyle w:val="Compact"/>
        <w:numPr>
          <w:ilvl w:val="0"/>
          <w:numId w:val="1041"/>
        </w:numPr>
      </w:pPr>
      <w:r>
        <w:t xml:space="preserve">Verteidigung von Rechtsansprüchen;</w:t>
      </w:r>
    </w:p>
    <w:p>
      <w:pPr>
        <w:pStyle w:val="Compact"/>
        <w:numPr>
          <w:ilvl w:val="0"/>
          <w:numId w:val="1041"/>
        </w:numPr>
      </w:pPr>
      <w:r>
        <w:t xml:space="preserve">Einhaltung gesetzlicher Pflichten.</w:t>
      </w:r>
    </w:p>
    <w:p>
      <w:pPr>
        <w:pStyle w:val="FirstParagraph"/>
      </w:pPr>
      <w:r>
        <w:t xml:space="preserve">Nach Widerruf darf der Nachweis nicht sofort vollständig gelöscht werden, wenn ein begrenzter Nachweis zur Dokumentation des Widerrufs und zur Verhinderung weiterer Werbung erforderlich ist.</w:t>
      </w:r>
    </w:p>
    <w:p>
      <w:pPr>
        <w:pStyle w:val="BodyText"/>
      </w:pPr>
      <w:r>
        <w:t xml:space="preserve">Die konkrete Frist wird im Löschkonzept und durch den Rechtsanwalt festgelegt.</w:t>
      </w:r>
    </w:p>
    <w:p>
      <w:r>
        <w:pict>
          <v:rect style="width:0;height:1.5pt" o:hralign="center" o:hrstd="t" o:hr="t"/>
        </w:pict>
      </w:r>
    </w:p>
    <w:bookmarkEnd w:id="91"/>
    <w:bookmarkStart w:id="98" w:name="technische-abnahmetests"/>
    <w:p>
      <w:pPr>
        <w:pStyle w:val="Heading1"/>
      </w:pPr>
      <w:r>
        <w:t xml:space="preserve">20. Technische Abnahmetests</w:t>
      </w:r>
    </w:p>
    <w:bookmarkStart w:id="92" w:name="registrierung"/>
    <w:p>
      <w:pPr>
        <w:pStyle w:val="Heading2"/>
      </w:pPr>
      <w:r>
        <w:t xml:space="preserve">Registrierung</w:t>
      </w:r>
    </w:p>
    <w:p>
      <w:pPr>
        <w:pStyle w:val="Compact"/>
        <w:numPr>
          <w:ilvl w:val="0"/>
          <w:numId w:val="1042"/>
        </w:numPr>
      </w:pPr>
      <w:r>
        <w:t xml:space="preserve">Pflichtbedingungen blockieren Registrierung bei Nichtannahme.</w:t>
      </w:r>
    </w:p>
    <w:p>
      <w:pPr>
        <w:pStyle w:val="Compact"/>
        <w:numPr>
          <w:ilvl w:val="0"/>
          <w:numId w:val="1042"/>
        </w:numPr>
      </w:pPr>
      <w:r>
        <w:t xml:space="preserve">Marketingfelder sind optional.</w:t>
      </w:r>
    </w:p>
    <w:p>
      <w:pPr>
        <w:pStyle w:val="Compact"/>
        <w:numPr>
          <w:ilvl w:val="0"/>
          <w:numId w:val="1042"/>
        </w:numPr>
      </w:pPr>
      <w:r>
        <w:t xml:space="preserve">Kein Feld ist vorausgewählt.</w:t>
      </w:r>
    </w:p>
    <w:p>
      <w:pPr>
        <w:pStyle w:val="Compact"/>
        <w:numPr>
          <w:ilvl w:val="0"/>
          <w:numId w:val="1042"/>
        </w:numPr>
      </w:pPr>
      <w:r>
        <w:t xml:space="preserve">E-Mail-Consent wird zunächst</w:t>
      </w:r>
      <w:r>
        <w:t xml:space="preserve"> </w:t>
      </w:r>
      <w:r>
        <w:rPr>
          <w:rStyle w:val="VerbatimChar"/>
        </w:rPr>
        <w:t xml:space="preserve">PENDING</w:t>
      </w:r>
      <w:r>
        <w:t xml:space="preserve">.</w:t>
      </w:r>
    </w:p>
    <w:p>
      <w:pPr>
        <w:pStyle w:val="Compact"/>
        <w:numPr>
          <w:ilvl w:val="0"/>
          <w:numId w:val="1042"/>
        </w:numPr>
      </w:pPr>
      <w:r>
        <w:t xml:space="preserve">Ohne Bestätigung kein Marketingversand.</w:t>
      </w:r>
    </w:p>
    <w:bookmarkEnd w:id="92"/>
    <w:bookmarkStart w:id="93" w:name="double-opt-in-2"/>
    <w:p>
      <w:pPr>
        <w:pStyle w:val="Heading2"/>
      </w:pPr>
      <w:r>
        <w:t xml:space="preserve">Double-Opt-in</w:t>
      </w:r>
    </w:p>
    <w:p>
      <w:pPr>
        <w:pStyle w:val="Compact"/>
        <w:numPr>
          <w:ilvl w:val="0"/>
          <w:numId w:val="1043"/>
        </w:numPr>
      </w:pPr>
      <w:r>
        <w:t xml:space="preserve">Token einmalig.</w:t>
      </w:r>
    </w:p>
    <w:p>
      <w:pPr>
        <w:pStyle w:val="Compact"/>
        <w:numPr>
          <w:ilvl w:val="0"/>
          <w:numId w:val="1043"/>
        </w:numPr>
      </w:pPr>
      <w:r>
        <w:t xml:space="preserve">Token ablaufend.</w:t>
      </w:r>
    </w:p>
    <w:p>
      <w:pPr>
        <w:pStyle w:val="Compact"/>
        <w:numPr>
          <w:ilvl w:val="0"/>
          <w:numId w:val="1043"/>
        </w:numPr>
      </w:pPr>
      <w:r>
        <w:t xml:space="preserve">Token restaurantbezogen.</w:t>
      </w:r>
    </w:p>
    <w:p>
      <w:pPr>
        <w:pStyle w:val="Compact"/>
        <w:numPr>
          <w:ilvl w:val="0"/>
          <w:numId w:val="1043"/>
        </w:numPr>
      </w:pPr>
      <w:r>
        <w:t xml:space="preserve">Falsches Restaurant wird blockiert.</w:t>
      </w:r>
    </w:p>
    <w:p>
      <w:pPr>
        <w:pStyle w:val="Compact"/>
        <w:numPr>
          <w:ilvl w:val="0"/>
          <w:numId w:val="1043"/>
        </w:numPr>
      </w:pPr>
      <w:r>
        <w:t xml:space="preserve">Wiederverwendung wird blockiert.</w:t>
      </w:r>
    </w:p>
    <w:p>
      <w:pPr>
        <w:pStyle w:val="Compact"/>
        <w:numPr>
          <w:ilvl w:val="0"/>
          <w:numId w:val="1043"/>
        </w:numPr>
      </w:pPr>
      <w:r>
        <w:t xml:space="preserve">Abgelaufener Token wird blockiert.</w:t>
      </w:r>
    </w:p>
    <w:p>
      <w:pPr>
        <w:pStyle w:val="Compact"/>
        <w:numPr>
          <w:ilvl w:val="0"/>
          <w:numId w:val="1043"/>
        </w:numPr>
      </w:pPr>
      <w:r>
        <w:t xml:space="preserve">Bestätigung setzt</w:t>
      </w:r>
      <w:r>
        <w:t xml:space="preserve"> </w:t>
      </w:r>
      <w:r>
        <w:rPr>
          <w:rStyle w:val="VerbatimChar"/>
        </w:rPr>
        <w:t xml:space="preserve">ACTIVE</w:t>
      </w:r>
      <w:r>
        <w:t xml:space="preserve">.</w:t>
      </w:r>
    </w:p>
    <w:bookmarkEnd w:id="93"/>
    <w:bookmarkStart w:id="94" w:name="widerruf-2"/>
    <w:p>
      <w:pPr>
        <w:pStyle w:val="Heading2"/>
      </w:pPr>
      <w:r>
        <w:t xml:space="preserve">Widerruf</w:t>
      </w:r>
    </w:p>
    <w:p>
      <w:pPr>
        <w:pStyle w:val="Compact"/>
        <w:numPr>
          <w:ilvl w:val="0"/>
          <w:numId w:val="1044"/>
        </w:numPr>
      </w:pPr>
      <w:r>
        <w:t xml:space="preserve">Widerruf sofort wirksam.</w:t>
      </w:r>
    </w:p>
    <w:p>
      <w:pPr>
        <w:pStyle w:val="Compact"/>
        <w:numPr>
          <w:ilvl w:val="0"/>
          <w:numId w:val="1044"/>
        </w:numPr>
      </w:pPr>
      <w:r>
        <w:t xml:space="preserve">Widerruf stoppt geplante Kampagnen.</w:t>
      </w:r>
    </w:p>
    <w:p>
      <w:pPr>
        <w:pStyle w:val="Compact"/>
        <w:numPr>
          <w:ilvl w:val="0"/>
          <w:numId w:val="1044"/>
        </w:numPr>
      </w:pPr>
      <w:r>
        <w:t xml:space="preserve">Widerruf löscht keine Punkte.</w:t>
      </w:r>
    </w:p>
    <w:p>
      <w:pPr>
        <w:pStyle w:val="Compact"/>
        <w:numPr>
          <w:ilvl w:val="0"/>
          <w:numId w:val="1044"/>
        </w:numPr>
      </w:pPr>
      <w:r>
        <w:t xml:space="preserve">Andere Kanäle bleiben unverändert.</w:t>
      </w:r>
    </w:p>
    <w:p>
      <w:pPr>
        <w:pStyle w:val="Compact"/>
        <w:numPr>
          <w:ilvl w:val="0"/>
          <w:numId w:val="1044"/>
        </w:numPr>
      </w:pPr>
      <w:r>
        <w:t xml:space="preserve">Event wird protokolliert.</w:t>
      </w:r>
    </w:p>
    <w:p>
      <w:pPr>
        <w:pStyle w:val="Compact"/>
        <w:numPr>
          <w:ilvl w:val="0"/>
          <w:numId w:val="1044"/>
        </w:numPr>
      </w:pPr>
      <w:r>
        <w:t xml:space="preserve">Sperrliste wird berücksichtigt.</w:t>
      </w:r>
    </w:p>
    <w:bookmarkEnd w:id="94"/>
    <w:bookmarkStart w:id="95" w:name="tenant-isolation"/>
    <w:p>
      <w:pPr>
        <w:pStyle w:val="Heading2"/>
      </w:pPr>
      <w:r>
        <w:t xml:space="preserve">Tenant-Isolation</w:t>
      </w:r>
    </w:p>
    <w:p>
      <w:pPr>
        <w:pStyle w:val="Compact"/>
        <w:numPr>
          <w:ilvl w:val="0"/>
          <w:numId w:val="1045"/>
        </w:numPr>
      </w:pPr>
      <w:r>
        <w:t xml:space="preserve">Restaurant A sieht keine Consents von Restaurant B.</w:t>
      </w:r>
    </w:p>
    <w:p>
      <w:pPr>
        <w:pStyle w:val="Compact"/>
        <w:numPr>
          <w:ilvl w:val="0"/>
          <w:numId w:val="1045"/>
        </w:numPr>
      </w:pPr>
      <w:r>
        <w:t xml:space="preserve">Restaurant A kann keine Kontakte von Restaurant B versenden.</w:t>
      </w:r>
    </w:p>
    <w:p>
      <w:pPr>
        <w:pStyle w:val="Compact"/>
        <w:numPr>
          <w:ilvl w:val="0"/>
          <w:numId w:val="1045"/>
        </w:numPr>
      </w:pPr>
      <w:r>
        <w:t xml:space="preserve">Gast kann je Restaurant unterschiedlich entscheiden.</w:t>
      </w:r>
    </w:p>
    <w:p>
      <w:pPr>
        <w:pStyle w:val="Compact"/>
        <w:numPr>
          <w:ilvl w:val="0"/>
          <w:numId w:val="1045"/>
        </w:numPr>
      </w:pPr>
      <w:r>
        <w:t xml:space="preserve">Plattform-Supportzugriff ist protokolliert.</w:t>
      </w:r>
    </w:p>
    <w:bookmarkEnd w:id="95"/>
    <w:bookmarkStart w:id="96" w:name="push"/>
    <w:p>
      <w:pPr>
        <w:pStyle w:val="Heading2"/>
      </w:pPr>
      <w:r>
        <w:t xml:space="preserve">Push</w:t>
      </w:r>
    </w:p>
    <w:p>
      <w:pPr>
        <w:pStyle w:val="Compact"/>
        <w:numPr>
          <w:ilvl w:val="0"/>
          <w:numId w:val="1046"/>
        </w:numPr>
      </w:pPr>
      <w:r>
        <w:t xml:space="preserve">Keine Subscription vor Nutzeraktion.</w:t>
      </w:r>
    </w:p>
    <w:p>
      <w:pPr>
        <w:pStyle w:val="Compact"/>
        <w:numPr>
          <w:ilvl w:val="0"/>
          <w:numId w:val="1046"/>
        </w:numPr>
      </w:pPr>
      <w:r>
        <w:t xml:space="preserve">Browserablehnung wird gespeichert.</w:t>
      </w:r>
    </w:p>
    <w:p>
      <w:pPr>
        <w:pStyle w:val="Compact"/>
        <w:numPr>
          <w:ilvl w:val="0"/>
          <w:numId w:val="1046"/>
        </w:numPr>
      </w:pPr>
      <w:r>
        <w:t xml:space="preserve">Widerruf deaktiviert Subscription.</w:t>
      </w:r>
    </w:p>
    <w:p>
      <w:pPr>
        <w:pStyle w:val="Compact"/>
        <w:numPr>
          <w:ilvl w:val="0"/>
          <w:numId w:val="1046"/>
        </w:numPr>
      </w:pPr>
      <w:r>
        <w:t xml:space="preserve">Push wird ohne</w:t>
      </w:r>
      <w:r>
        <w:t xml:space="preserve"> </w:t>
      </w:r>
      <w:r>
        <w:rPr>
          <w:rStyle w:val="VerbatimChar"/>
        </w:rPr>
        <w:t xml:space="preserve">ACTIVE</w:t>
      </w:r>
      <w:r>
        <w:t xml:space="preserve"> </w:t>
      </w:r>
      <w:r>
        <w:t xml:space="preserve">blockiert.</w:t>
      </w:r>
    </w:p>
    <w:bookmarkEnd w:id="96"/>
    <w:bookmarkStart w:id="97" w:name="cookies"/>
    <w:p>
      <w:pPr>
        <w:pStyle w:val="Heading2"/>
      </w:pPr>
      <w:r>
        <w:t xml:space="preserve">Cookies</w:t>
      </w:r>
    </w:p>
    <w:p>
      <w:pPr>
        <w:pStyle w:val="Compact"/>
        <w:numPr>
          <w:ilvl w:val="0"/>
          <w:numId w:val="1047"/>
        </w:numPr>
      </w:pPr>
      <w:r>
        <w:t xml:space="preserve">Optionale Technologien vor Zustimmung nicht geladen.</w:t>
      </w:r>
    </w:p>
    <w:p>
      <w:pPr>
        <w:pStyle w:val="Compact"/>
        <w:numPr>
          <w:ilvl w:val="0"/>
          <w:numId w:val="1047"/>
        </w:numPr>
      </w:pPr>
      <w:r>
        <w:t xml:space="preserve">„Nur notwendige“ funktioniert.</w:t>
      </w:r>
    </w:p>
    <w:p>
      <w:pPr>
        <w:pStyle w:val="Compact"/>
        <w:numPr>
          <w:ilvl w:val="0"/>
          <w:numId w:val="1047"/>
        </w:numPr>
      </w:pPr>
      <w:r>
        <w:t xml:space="preserve">Widerruf stoppt künftiges Tracking.</w:t>
      </w:r>
    </w:p>
    <w:p>
      <w:pPr>
        <w:pStyle w:val="Compact"/>
        <w:numPr>
          <w:ilvl w:val="0"/>
          <w:numId w:val="1047"/>
        </w:numPr>
      </w:pPr>
      <w:r>
        <w:t xml:space="preserve">Consentversion wird gespeichert.</w:t>
      </w:r>
    </w:p>
    <w:p>
      <w:r>
        <w:pict>
          <v:rect style="width:0;height:1.5pt" o:hralign="center" o:hrstd="t" o:hr="t"/>
        </w:pict>
      </w:r>
    </w:p>
    <w:bookmarkEnd w:id="97"/>
    <w:bookmarkEnd w:id="98"/>
    <w:bookmarkStart w:id="99" w:name="offene-anwaltliche-entscheidungen"/>
    <w:p>
      <w:pPr>
        <w:pStyle w:val="Heading1"/>
      </w:pPr>
      <w:r>
        <w:t xml:space="preserve">21. Offene anwaltliche Entscheidungen</w:t>
      </w:r>
    </w:p>
    <w:p>
      <w:pPr>
        <w:pStyle w:val="Compact"/>
        <w:numPr>
          <w:ilvl w:val="0"/>
          <w:numId w:val="1048"/>
        </w:numPr>
      </w:pPr>
      <w:r>
        <w:t xml:space="preserve">Ob Double-Opt-in rechtlich verpflichtend oder als Nachweisstandard empfohlen wird.</w:t>
      </w:r>
    </w:p>
    <w:p>
      <w:pPr>
        <w:pStyle w:val="Compact"/>
        <w:numPr>
          <w:ilvl w:val="0"/>
          <w:numId w:val="1048"/>
        </w:numPr>
      </w:pPr>
      <w:r>
        <w:t xml:space="preserve">Ob und wann die Bestandskundenausnahme verwendet werden darf.</w:t>
      </w:r>
    </w:p>
    <w:p>
      <w:pPr>
        <w:pStyle w:val="Compact"/>
        <w:numPr>
          <w:ilvl w:val="0"/>
          <w:numId w:val="1048"/>
        </w:numPr>
      </w:pPr>
      <w:r>
        <w:t xml:space="preserve">Mindestalter für das Bonusprogramm.</w:t>
      </w:r>
    </w:p>
    <w:p>
      <w:pPr>
        <w:pStyle w:val="Compact"/>
        <w:numPr>
          <w:ilvl w:val="0"/>
          <w:numId w:val="1048"/>
        </w:numPr>
      </w:pPr>
      <w:r>
        <w:t xml:space="preserve">Zulässigkeit und Umfang von Geburtstagsmarketing.</w:t>
      </w:r>
    </w:p>
    <w:p>
      <w:pPr>
        <w:pStyle w:val="Compact"/>
        <w:numPr>
          <w:ilvl w:val="0"/>
          <w:numId w:val="1048"/>
        </w:numPr>
      </w:pPr>
      <w:r>
        <w:t xml:space="preserve">genaue Reichweite eines unternehmensweiten Filialconsents.</w:t>
      </w:r>
    </w:p>
    <w:p>
      <w:pPr>
        <w:pStyle w:val="Compact"/>
        <w:numPr>
          <w:ilvl w:val="0"/>
          <w:numId w:val="1048"/>
        </w:numPr>
      </w:pPr>
      <w:r>
        <w:t xml:space="preserve">Umgang mit historischen Kontakten ohne belastbaren Nachweis.</w:t>
      </w:r>
    </w:p>
    <w:p>
      <w:pPr>
        <w:pStyle w:val="Compact"/>
        <w:numPr>
          <w:ilvl w:val="0"/>
          <w:numId w:val="1048"/>
        </w:numPr>
      </w:pPr>
      <w:r>
        <w:t xml:space="preserve">Dauer der Aufbewahrung von Consent- und Suppression-Daten.</w:t>
      </w:r>
    </w:p>
    <w:p>
      <w:pPr>
        <w:pStyle w:val="Compact"/>
        <w:numPr>
          <w:ilvl w:val="0"/>
          <w:numId w:val="1048"/>
        </w:numPr>
      </w:pPr>
      <w:r>
        <w:t xml:space="preserve">konkrete Formulierung für Push.</w:t>
      </w:r>
    </w:p>
    <w:p>
      <w:pPr>
        <w:pStyle w:val="Compact"/>
        <w:numPr>
          <w:ilvl w:val="0"/>
          <w:numId w:val="1048"/>
        </w:numPr>
      </w:pPr>
      <w:r>
        <w:t xml:space="preserve">Abgrenzung transaktionaler Reward-Erinnerungen von Marketing.</w:t>
      </w:r>
    </w:p>
    <w:p>
      <w:pPr>
        <w:pStyle w:val="Compact"/>
        <w:numPr>
          <w:ilvl w:val="0"/>
          <w:numId w:val="1048"/>
        </w:numPr>
      </w:pPr>
      <w:r>
        <w:t xml:space="preserve">Notwendigkeit zusätzlicher Einwilligung bei personalisierten Empfehlungen.</w:t>
      </w:r>
    </w:p>
    <w:p>
      <w:pPr>
        <w:pStyle w:val="Compact"/>
        <w:numPr>
          <w:ilvl w:val="0"/>
          <w:numId w:val="1048"/>
        </w:numPr>
      </w:pPr>
      <w:r>
        <w:t xml:space="preserve">Anforderungen an SMS-STOP-Prozesse.</w:t>
      </w:r>
    </w:p>
    <w:p>
      <w:pPr>
        <w:pStyle w:val="Compact"/>
        <w:numPr>
          <w:ilvl w:val="0"/>
          <w:numId w:val="1048"/>
        </w:numPr>
      </w:pPr>
      <w:r>
        <w:t xml:space="preserve">Zulässigkeit von Profiling und Segmentierung.</w:t>
      </w:r>
    </w:p>
    <w:p>
      <w:pPr>
        <w:pStyle w:val="Compact"/>
        <w:numPr>
          <w:ilvl w:val="0"/>
          <w:numId w:val="1048"/>
        </w:numPr>
      </w:pPr>
      <w:r>
        <w:t xml:space="preserve">Umgang mit rechtmäßig erhobenen Kontakten aus Altsystemen.</w:t>
      </w:r>
    </w:p>
    <w:p>
      <w:pPr>
        <w:pStyle w:val="Compact"/>
        <w:numPr>
          <w:ilvl w:val="0"/>
          <w:numId w:val="1048"/>
        </w:numPr>
      </w:pPr>
      <w:r>
        <w:t xml:space="preserve">Einsatz von Telefonnummern als Kontoidentität und Marketingkanal.</w:t>
      </w:r>
    </w:p>
    <w:p>
      <w:pPr>
        <w:pStyle w:val="Compact"/>
        <w:numPr>
          <w:ilvl w:val="0"/>
          <w:numId w:val="1048"/>
        </w:numPr>
      </w:pPr>
      <w:r>
        <w:t xml:space="preserve">technische und rechtliche Behandlung mehrerer Geräte.</w:t>
      </w:r>
    </w:p>
    <w:p>
      <w:r>
        <w:pict>
          <v:rect style="width:0;height:1.5pt" o:hralign="center" o:hrstd="t" o:hr="t"/>
        </w:pict>
      </w:r>
    </w:p>
    <w:bookmarkEnd w:id="99"/>
    <w:bookmarkStart w:id="100" w:name="produktentscheidung-für-wuxuai-v1"/>
    <w:p>
      <w:pPr>
        <w:pStyle w:val="Heading1"/>
      </w:pPr>
      <w:r>
        <w:t xml:space="preserve">22. Produktentscheidung für WUXUAI V1</w:t>
      </w:r>
    </w:p>
    <w:p>
      <w:pPr>
        <w:pStyle w:val="FirstParagraph"/>
      </w:pPr>
      <w:r>
        <w:t xml:space="preserve">Bis zur anwaltlichen Freigabe gelten folgende strenge Standardregeln:</w:t>
      </w:r>
    </w:p>
    <w:p>
      <w:pPr>
        <w:pStyle w:val="SourceCode"/>
      </w:pPr>
      <w:r>
        <w:rPr>
          <w:rStyle w:val="VerbatimChar"/>
        </w:rPr>
        <w:t xml:space="preserve">Marketing nur mit aktivem kanalbezogenem Consent.</w:t>
      </w:r>
      <w:r>
        <w:br/>
      </w:r>
      <w:r>
        <w:rPr>
          <w:rStyle w:val="VerbatimChar"/>
        </w:rPr>
        <w:t xml:space="preserve">E-Mail-Marketing nur nach Double-Opt-in.</w:t>
      </w:r>
      <w:r>
        <w:br/>
      </w:r>
      <w:r>
        <w:rPr>
          <w:rStyle w:val="VerbatimChar"/>
        </w:rPr>
        <w:t xml:space="preserve">SMS-Marketing nur nach Nummernbestätigung.</w:t>
      </w:r>
      <w:r>
        <w:br/>
      </w:r>
      <w:r>
        <w:rPr>
          <w:rStyle w:val="VerbatimChar"/>
        </w:rPr>
        <w:t xml:space="preserve">Push nur nach Consent und Systemberechtigung.</w:t>
      </w:r>
      <w:r>
        <w:br/>
      </w:r>
      <w:r>
        <w:rPr>
          <w:rStyle w:val="VerbatimChar"/>
        </w:rPr>
        <w:t xml:space="preserve">Keine vorausgewählten Marketingfelder.</w:t>
      </w:r>
      <w:r>
        <w:br/>
      </w:r>
      <w:r>
        <w:rPr>
          <w:rStyle w:val="VerbatimChar"/>
        </w:rPr>
        <w:t xml:space="preserve">Kein restaurantübergreifender Consent.</w:t>
      </w:r>
      <w:r>
        <w:br/>
      </w:r>
      <w:r>
        <w:rPr>
          <w:rStyle w:val="VerbatimChar"/>
        </w:rPr>
        <w:t xml:space="preserve">Kein automatischer Rückgriff auf die Bestandskundenausnahme.</w:t>
      </w:r>
      <w:r>
        <w:br/>
      </w:r>
      <w:r>
        <w:rPr>
          <w:rStyle w:val="VerbatimChar"/>
        </w:rPr>
        <w:t xml:space="preserve">Widerruf jederzeit im Kundenkonto.</w:t>
      </w:r>
      <w:r>
        <w:br/>
      </w:r>
      <w:r>
        <w:rPr>
          <w:rStyle w:val="VerbatimChar"/>
        </w:rPr>
        <w:t xml:space="preserve">Kein Marketing im Inhalt notwendiger Systemnachrichten.</w:t>
      </w:r>
      <w:r>
        <w:br/>
      </w:r>
      <w:r>
        <w:rPr>
          <w:rStyle w:val="VerbatimChar"/>
        </w:rPr>
        <w:t xml:space="preserve">Keine dauerhafte Standortchronik.</w:t>
      </w:r>
      <w:r>
        <w:br/>
      </w:r>
      <w:r>
        <w:rPr>
          <w:rStyle w:val="VerbatimChar"/>
        </w:rPr>
        <w:t xml:space="preserve">Keine optionalen Tracker vor Zustimmung.</w:t>
      </w:r>
    </w:p>
    <w:p>
      <w:r>
        <w:pict>
          <v:rect style="width:0;height:1.5pt" o:hralign="center" o:hrstd="t" o:hr="t"/>
        </w:pict>
      </w:r>
    </w:p>
    <w:bookmarkEnd w:id="100"/>
    <w:bookmarkStart w:id="101" w:name="status"/>
    <w:p>
      <w:pPr>
        <w:pStyle w:val="Heading1"/>
      </w:pPr>
      <w:r>
        <w:t xml:space="preserve">23. Status</w:t>
      </w:r>
    </w:p>
    <w:p>
      <w:pPr>
        <w:pStyle w:val="FirstParagraph"/>
      </w:pPr>
      <w:r>
        <w:rPr>
          <w:b/>
          <w:bCs/>
        </w:rPr>
        <w:t xml:space="preserve">Fachlicher Entwurf:</w:t>
      </w:r>
      <w:r>
        <w:t xml:space="preserve"> </w:t>
      </w:r>
      <w:r>
        <w:t xml:space="preserve">abgeschlossen</w:t>
      </w:r>
      <w:r>
        <w:br/>
      </w:r>
      <w:r>
        <w:rPr>
          <w:b/>
          <w:bCs/>
        </w:rPr>
        <w:t xml:space="preserve">Anwaltliche Prüfung:</w:t>
      </w:r>
      <w:r>
        <w:t xml:space="preserve"> </w:t>
      </w:r>
      <w:r>
        <w:t xml:space="preserve">ausstehend</w:t>
      </w:r>
      <w:r>
        <w:br/>
      </w:r>
      <w:r>
        <w:rPr>
          <w:b/>
          <w:bCs/>
        </w:rPr>
        <w:t xml:space="preserve">Technische Umsetzung:</w:t>
      </w:r>
      <w:r>
        <w:t xml:space="preserve"> </w:t>
      </w:r>
      <w:r>
        <w:t xml:space="preserve">noch nicht beauftragt</w:t>
      </w:r>
      <w:r>
        <w:br/>
      </w:r>
      <w:r>
        <w:rPr>
          <w:b/>
          <w:bCs/>
        </w:rPr>
        <w:t xml:space="preserve">Produktive Aktivierung von Marketing:</w:t>
      </w:r>
      <w:r>
        <w:t xml:space="preserve"> </w:t>
      </w:r>
      <w:r>
        <w:t xml:space="preserve">nicht freigegeben</w:t>
      </w:r>
      <w:r>
        <w:br/>
      </w:r>
      <w:r>
        <w:rPr>
          <w:b/>
          <w:bCs/>
        </w:rPr>
        <w:t xml:space="preserve">Voraussetzung für Aktivierung:</w:t>
      </w:r>
      <w:r>
        <w:t xml:space="preserve"> </w:t>
      </w:r>
      <w:r>
        <w:t xml:space="preserve">Legal Review, Anbieterwahl, technische Tests und Staging-Abnahme</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2026-07-25T06:22:40Z</dcterms:created>
  <dcterms:modified xsi:type="dcterms:W3CDTF">2026-07-25T06:22:40Z</dcterms:modified>
</cp:coreProperties>
</file>

<file path=docProps/custom.xml><?xml version="1.0" encoding="utf-8"?>
<Properties xmlns="http://schemas.openxmlformats.org/officeDocument/2006/custom-properties" xmlns:vt="http://schemas.openxmlformats.org/officeDocument/2006/docPropsVTypes"/>
</file>