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uxuai-restaurant-bonus"/>
    <w:p>
      <w:pPr>
        <w:pStyle w:val="Heading1"/>
      </w:pPr>
      <w:r>
        <w:t xml:space="preserve">WUXUAI Restaurant Bonus</w:t>
      </w:r>
    </w:p>
    <w:bookmarkStart w:id="20" w:name="leistungsbeschreibung-der-saas-plattform"/>
    <w:p>
      <w:pPr>
        <w:pStyle w:val="Heading2"/>
      </w:pPr>
      <w:r>
        <w:t xml:space="preserve">Leistungsbeschreibung der SaaS-Plattform</w:t>
      </w:r>
    </w:p>
    <w:p>
      <w:pPr>
        <w:pStyle w:val="FirstParagraph"/>
      </w:pPr>
      <w:r>
        <w:rPr>
          <w:b/>
          <w:bCs/>
        </w:rPr>
        <w:t xml:space="preserve">Dokumenttyp:</w:t>
      </w:r>
      <w:r>
        <w:t xml:space="preserve"> </w:t>
      </w:r>
      <w:r>
        <w:t xml:space="preserve">SERVICE_DESCRIPTION</w:t>
      </w:r>
      <w:r>
        <w:br/>
      </w:r>
      <w:r>
        <w:rPr>
          <w:b/>
          <w:bCs/>
        </w:rPr>
        <w:t xml:space="preserve">Dokumentversion:</w:t>
      </w:r>
      <w:r>
        <w:t xml:space="preserve"> </w:t>
      </w:r>
      <w:r>
        <w:t xml:space="preserve">1.0-DRAFT</w:t>
      </w:r>
      <w:r>
        <w:br/>
      </w:r>
      <w:r>
        <w:rPr>
          <w:b/>
          <w:bCs/>
        </w:rPr>
        <w:t xml:space="preserve">Rechtsraum:</w:t>
      </w:r>
      <w:r>
        <w:t xml:space="preserve"> </w:t>
      </w:r>
      <w:r>
        <w:t xml:space="preserve">Österreich</w:t>
      </w:r>
      <w:r>
        <w:br/>
      </w:r>
      <w:r>
        <w:rPr>
          <w:b/>
          <w:bCs/>
        </w:rPr>
        <w:t xml:space="preserve">Anbieter:</w:t>
      </w:r>
      <w:r>
        <w:t xml:space="preserve"> </w:t>
      </w:r>
      <w:r>
        <w:t xml:space="preserve">WUXUAI GmbH</w:t>
      </w:r>
      <w:r>
        <w:br/>
      </w:r>
      <w:r>
        <w:rPr>
          <w:b/>
          <w:bCs/>
        </w:rPr>
        <w:t xml:space="preserve">Zielgruppe:</w:t>
      </w:r>
      <w:r>
        <w:t xml:space="preserve"> </w:t>
      </w:r>
      <w:r>
        <w:t xml:space="preserve">Unternehmer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Entwurf zur anwaltlichen, steuerlichen und technischen Prüfung</w:t>
      </w:r>
      <w:r>
        <w:br/>
      </w:r>
      <w:r>
        <w:rPr>
          <w:b/>
          <w:bCs/>
        </w:rPr>
        <w:t xml:space="preserve">Vertragsbestandteil:</w:t>
      </w:r>
      <w:r>
        <w:t xml:space="preserve"> </w:t>
      </w:r>
      <w:r>
        <w:t xml:space="preserve">Nur nach ausdrücklicher Einbeziehung in Angebot oder Bestellformular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nbieter"/>
    <w:p>
      <w:pPr>
        <w:pStyle w:val="Heading1"/>
      </w:pPr>
      <w:r>
        <w:t xml:space="preserve">1. Anbieter</w:t>
      </w:r>
    </w:p>
    <w:p>
      <w:pPr>
        <w:pStyle w:val="FirstParagraph"/>
      </w:pPr>
      <w:r>
        <w:t xml:space="preserve">Anbieter der in dieser Leistungsbeschreibung beschriebenen Plattform ist:</w:t>
      </w:r>
    </w:p>
    <w:p>
      <w:pPr>
        <w:pStyle w:val="BodyText"/>
      </w:pPr>
      <w:r>
        <w:rPr>
          <w:b/>
          <w:bCs/>
        </w:rPr>
        <w:t xml:space="preserve">WUXUAI GmbH</w:t>
      </w:r>
      <w:r>
        <w:br/>
      </w:r>
      <w:r>
        <w:t xml:space="preserve">[GESCHÄFTSANSCHRIFT]</w:t>
      </w:r>
      <w:r>
        <w:br/>
      </w:r>
      <w:r>
        <w:t xml:space="preserve">[PLZ, ORT]</w:t>
      </w:r>
      <w:r>
        <w:br/>
      </w:r>
      <w:r>
        <w:t xml:space="preserve">Österreich</w:t>
      </w:r>
    </w:p>
    <w:p>
      <w:pPr>
        <w:pStyle w:val="BodyText"/>
      </w:pPr>
      <w:r>
        <w:t xml:space="preserve">E-Mail: [VERTRAGS_EMAIL]</w:t>
      </w:r>
      <w:r>
        <w:br/>
      </w:r>
      <w:r>
        <w:t xml:space="preserve">Support: [SUPPORT_EMAIL]</w:t>
      </w:r>
      <w:r>
        <w:br/>
      </w:r>
      <w:r>
        <w:t xml:space="preserve">Firmenbuchnummer: [FIRMENBUCHNUMMER]</w:t>
      </w:r>
      <w:r>
        <w:br/>
      </w:r>
      <w:r>
        <w:t xml:space="preserve">Firmenbuchgericht: [FIRMENBUCHGERICHT]</w:t>
      </w:r>
      <w:r>
        <w:br/>
      </w:r>
      <w:r>
        <w:t xml:space="preserve">UID-Nummer: [UID_NUMMER]</w:t>
      </w:r>
    </w:p>
    <w:p>
      <w:pPr>
        <w:pStyle w:val="BodyText"/>
      </w:pPr>
      <w:r>
        <w:t xml:space="preserve">Nachfolgend „WUXUAI“.</w:t>
      </w:r>
    </w:p>
    <w:p>
      <w:r>
        <w:pict>
          <v:rect style="width:0;height:1.5pt" o:hralign="center" o:hrstd="t" o:hr="t"/>
        </w:pict>
      </w:r>
    </w:p>
    <w:bookmarkEnd w:id="22"/>
    <w:bookmarkStart w:id="23" w:name="zweck-der-plattform"/>
    <w:p>
      <w:pPr>
        <w:pStyle w:val="Heading1"/>
      </w:pPr>
      <w:r>
        <w:t xml:space="preserve">2. Zweck der Plattform</w:t>
      </w:r>
    </w:p>
    <w:p>
      <w:pPr>
        <w:pStyle w:val="FirstParagraph"/>
      </w:pPr>
      <w:r>
        <w:t xml:space="preserve">WUXUAI Restaurant Bonus ist eine cloudbasierte Software-as-a-Service-Plattform für die Einrichtung, Verwaltung und technische Durchführung restaurantbezogener Kundenbindungs- und Bonusprogramme.</w:t>
      </w:r>
    </w:p>
    <w:p>
      <w:pPr>
        <w:pStyle w:val="BodyText"/>
      </w:pPr>
      <w:r>
        <w:t xml:space="preserve">Die Plattform ermöglicht Restaurantunternehmen insbesondere:</w:t>
      </w:r>
    </w:p>
    <w:p>
      <w:pPr>
        <w:pStyle w:val="Compact"/>
        <w:numPr>
          <w:ilvl w:val="0"/>
          <w:numId w:val="1001"/>
        </w:numPr>
      </w:pPr>
      <w:r>
        <w:t xml:space="preserve">ein eigenes Bonusprogramm einzurichten;</w:t>
      </w:r>
    </w:p>
    <w:p>
      <w:pPr>
        <w:pStyle w:val="Compact"/>
        <w:numPr>
          <w:ilvl w:val="0"/>
          <w:numId w:val="1001"/>
        </w:numPr>
      </w:pPr>
      <w:r>
        <w:t xml:space="preserve">Gäste über einen restaurantbezogenen QR-Code zu registrieren;</w:t>
      </w:r>
    </w:p>
    <w:p>
      <w:pPr>
        <w:pStyle w:val="Compact"/>
        <w:numPr>
          <w:ilvl w:val="0"/>
          <w:numId w:val="1001"/>
        </w:numPr>
      </w:pPr>
      <w:r>
        <w:t xml:space="preserve">Punkte nach festgelegten Regeln zu vergeben;</w:t>
      </w:r>
    </w:p>
    <w:p>
      <w:pPr>
        <w:pStyle w:val="Compact"/>
        <w:numPr>
          <w:ilvl w:val="0"/>
          <w:numId w:val="1001"/>
        </w:numPr>
      </w:pPr>
      <w:r>
        <w:t xml:space="preserve">Rewards zu definieren und zu verwalten;</w:t>
      </w:r>
    </w:p>
    <w:p>
      <w:pPr>
        <w:pStyle w:val="Compact"/>
        <w:numPr>
          <w:ilvl w:val="0"/>
          <w:numId w:val="1001"/>
        </w:numPr>
      </w:pPr>
      <w:r>
        <w:t xml:space="preserve">Reward-Einlösungen technisch zu bestätigen;</w:t>
      </w:r>
    </w:p>
    <w:p>
      <w:pPr>
        <w:pStyle w:val="Compact"/>
        <w:numPr>
          <w:ilvl w:val="0"/>
          <w:numId w:val="1001"/>
        </w:numPr>
      </w:pPr>
      <w:r>
        <w:t xml:space="preserve">Mitarbeiter und Filialen zu verwalten;</w:t>
      </w:r>
    </w:p>
    <w:p>
      <w:pPr>
        <w:pStyle w:val="Compact"/>
        <w:numPr>
          <w:ilvl w:val="0"/>
          <w:numId w:val="1001"/>
        </w:numPr>
      </w:pPr>
      <w:r>
        <w:t xml:space="preserve">rechtlich relevante Informationen bereitzustellen;</w:t>
      </w:r>
    </w:p>
    <w:p>
      <w:pPr>
        <w:pStyle w:val="Compact"/>
        <w:numPr>
          <w:ilvl w:val="0"/>
          <w:numId w:val="1001"/>
        </w:numPr>
      </w:pPr>
      <w:r>
        <w:t xml:space="preserve">Zustimmungsvorgänge zu dokumentieren;</w:t>
      </w:r>
    </w:p>
    <w:p>
      <w:pPr>
        <w:pStyle w:val="Compact"/>
        <w:numPr>
          <w:ilvl w:val="0"/>
          <w:numId w:val="1001"/>
        </w:numPr>
      </w:pPr>
      <w:r>
        <w:t xml:space="preserve">Datenschutzanfragen technisch zu bearbeiten;</w:t>
      </w:r>
    </w:p>
    <w:p>
      <w:pPr>
        <w:pStyle w:val="Compact"/>
        <w:numPr>
          <w:ilvl w:val="0"/>
          <w:numId w:val="1001"/>
        </w:numPr>
      </w:pPr>
      <w:r>
        <w:t xml:space="preserve">programmbezogene Berichte und Auditdaten einzusehen.</w:t>
      </w:r>
    </w:p>
    <w:p>
      <w:pPr>
        <w:pStyle w:val="FirstParagraph"/>
      </w:pPr>
      <w:r>
        <w:t xml:space="preserve">Die Plattform ist ein technisches Werkzeug.</w:t>
      </w:r>
    </w:p>
    <w:p>
      <w:pPr>
        <w:pStyle w:val="BodyText"/>
      </w:pPr>
      <w:r>
        <w:t xml:space="preserve">Das jeweilige Restaurantunternehmen bleibt Veranstalter und wirtschaftlich Verantwortlicher seines Bonusprogramms.</w:t>
      </w:r>
    </w:p>
    <w:p>
      <w:r>
        <w:pict>
          <v:rect style="width:0;height:1.5pt" o:hralign="center" o:hrstd="t" o:hr="t"/>
        </w:pict>
      </w:r>
    </w:p>
    <w:bookmarkEnd w:id="23"/>
    <w:bookmarkStart w:id="24" w:name="vertragsgegenstand"/>
    <w:p>
      <w:pPr>
        <w:pStyle w:val="Heading1"/>
      </w:pPr>
      <w:r>
        <w:t xml:space="preserve">3. Vertragsgegenstand</w:t>
      </w:r>
    </w:p>
    <w:p>
      <w:pPr>
        <w:pStyle w:val="FirstParagraph"/>
      </w:pPr>
      <w:r>
        <w:t xml:space="preserve">WUXUAI stellt dem Kunden während der Vertragsdauer einen webbasierten Zugang zur Plattform im Umfang des gebuchten Tarifs bereit.</w:t>
      </w:r>
    </w:p>
    <w:p>
      <w:pPr>
        <w:pStyle w:val="BodyText"/>
      </w:pPr>
      <w:r>
        <w:t xml:space="preserve">Der konkrete Vertragsumfang ergibt sich in folgender Reihenfolge aus:</w:t>
      </w:r>
    </w:p>
    <w:p>
      <w:pPr>
        <w:pStyle w:val="Compact"/>
        <w:numPr>
          <w:ilvl w:val="0"/>
          <w:numId w:val="1002"/>
        </w:numPr>
      </w:pPr>
      <w:r>
        <w:t xml:space="preserve">individueller Vereinbarung;</w:t>
      </w:r>
    </w:p>
    <w:p>
      <w:pPr>
        <w:pStyle w:val="Compact"/>
        <w:numPr>
          <w:ilvl w:val="0"/>
          <w:numId w:val="1002"/>
        </w:numPr>
      </w:pPr>
      <w:r>
        <w:t xml:space="preserve">Angebot oder Bestellformular;</w:t>
      </w:r>
    </w:p>
    <w:p>
      <w:pPr>
        <w:pStyle w:val="Compact"/>
        <w:numPr>
          <w:ilvl w:val="0"/>
          <w:numId w:val="1002"/>
        </w:numPr>
      </w:pPr>
      <w:r>
        <w:t xml:space="preserve">dieser Leistungsbeschreibung;</w:t>
      </w:r>
    </w:p>
    <w:p>
      <w:pPr>
        <w:pStyle w:val="Compact"/>
        <w:numPr>
          <w:ilvl w:val="0"/>
          <w:numId w:val="1002"/>
        </w:numPr>
      </w:pPr>
      <w:r>
        <w:t xml:space="preserve">Service-Level- und Supportbedingungen;</w:t>
      </w:r>
    </w:p>
    <w:p>
      <w:pPr>
        <w:pStyle w:val="Compact"/>
        <w:numPr>
          <w:ilvl w:val="0"/>
          <w:numId w:val="1002"/>
        </w:numPr>
      </w:pPr>
      <w:r>
        <w:t xml:space="preserve">B2B-SaaS-AGB;</w:t>
      </w:r>
    </w:p>
    <w:p>
      <w:pPr>
        <w:pStyle w:val="Compact"/>
        <w:numPr>
          <w:ilvl w:val="0"/>
          <w:numId w:val="1002"/>
        </w:numPr>
      </w:pPr>
      <w:r>
        <w:t xml:space="preserve">Auftragsverarbeitungsvertrag;</w:t>
      </w:r>
    </w:p>
    <w:p>
      <w:pPr>
        <w:pStyle w:val="Compact"/>
        <w:numPr>
          <w:ilvl w:val="0"/>
          <w:numId w:val="1002"/>
        </w:numPr>
      </w:pPr>
      <w:r>
        <w:t xml:space="preserve">technischer Dokumentation.</w:t>
      </w:r>
    </w:p>
    <w:p>
      <w:pPr>
        <w:pStyle w:val="FirstParagraph"/>
      </w:pPr>
      <w:r>
        <w:t xml:space="preserve">Nicht jeder in dieser Leistungsbeschreibung genannte Funktionsbereich ist automatisch in jedem Tarif enthalten.</w:t>
      </w:r>
    </w:p>
    <w:p>
      <w:pPr>
        <w:pStyle w:val="BodyText"/>
      </w:pPr>
      <w:r>
        <w:t xml:space="preserve">Tarifabhängige Funktionen sind im Angebot oder Bestellformular ausdrücklich zu kennzeichnen.</w:t>
      </w:r>
    </w:p>
    <w:p>
      <w:r>
        <w:pict>
          <v:rect style="width:0;height:1.5pt" o:hralign="center" o:hrstd="t" o:hr="t"/>
        </w:pict>
      </w:r>
    </w:p>
    <w:bookmarkEnd w:id="24"/>
    <w:bookmarkStart w:id="30" w:name="produktrollen-und-portale"/>
    <w:p>
      <w:pPr>
        <w:pStyle w:val="Heading1"/>
      </w:pPr>
      <w:r>
        <w:t xml:space="preserve">4. Produktrollen und Portale</w:t>
      </w:r>
    </w:p>
    <w:p>
      <w:pPr>
        <w:pStyle w:val="FirstParagraph"/>
      </w:pPr>
      <w:r>
        <w:t xml:space="preserve">Die Plattform besteht im Grundmodell aus mehreren getrennten Benutzerbereichen.</w:t>
      </w:r>
    </w:p>
    <w:bookmarkStart w:id="25" w:name="plattform-admin"/>
    <w:p>
      <w:pPr>
        <w:pStyle w:val="Heading2"/>
      </w:pPr>
      <w:r>
        <w:t xml:space="preserve">4.1 Plattform-Admin</w:t>
      </w:r>
    </w:p>
    <w:p>
      <w:pPr>
        <w:pStyle w:val="FirstParagraph"/>
      </w:pPr>
      <w:r>
        <w:t xml:space="preserve">Der Plattform-Admin dient WUXUAI zur technischen und organisatorischen Verwaltung der SaaS-Plattform.</w:t>
      </w:r>
    </w:p>
    <w:p>
      <w:pPr>
        <w:pStyle w:val="BodyText"/>
      </w:pPr>
      <w:r>
        <w:t xml:space="preserve">Mögliche Funktionen:</w:t>
      </w:r>
    </w:p>
    <w:p>
      <w:pPr>
        <w:pStyle w:val="Compact"/>
        <w:numPr>
          <w:ilvl w:val="0"/>
          <w:numId w:val="1003"/>
        </w:numPr>
      </w:pPr>
      <w:r>
        <w:t xml:space="preserve">Restaurantkonten verwalten;</w:t>
      </w:r>
    </w:p>
    <w:p>
      <w:pPr>
        <w:pStyle w:val="Compact"/>
        <w:numPr>
          <w:ilvl w:val="0"/>
          <w:numId w:val="1003"/>
        </w:numPr>
      </w:pPr>
      <w:r>
        <w:t xml:space="preserve">Freigabestatus prüfen;</w:t>
      </w:r>
    </w:p>
    <w:p>
      <w:pPr>
        <w:pStyle w:val="Compact"/>
        <w:numPr>
          <w:ilvl w:val="0"/>
          <w:numId w:val="1003"/>
        </w:numPr>
      </w:pPr>
      <w:r>
        <w:t xml:space="preserve">technische Supportfälle bearbeiten;</w:t>
      </w:r>
    </w:p>
    <w:p>
      <w:pPr>
        <w:pStyle w:val="Compact"/>
        <w:numPr>
          <w:ilvl w:val="0"/>
          <w:numId w:val="1003"/>
        </w:numPr>
      </w:pPr>
      <w:r>
        <w:t xml:space="preserve">System- und Sicherheitswarnungen einsehen;</w:t>
      </w:r>
    </w:p>
    <w:p>
      <w:pPr>
        <w:pStyle w:val="Compact"/>
        <w:numPr>
          <w:ilvl w:val="0"/>
          <w:numId w:val="1003"/>
        </w:numPr>
      </w:pPr>
      <w:r>
        <w:t xml:space="preserve">Legal-Readiness prüfen;</w:t>
      </w:r>
    </w:p>
    <w:p>
      <w:pPr>
        <w:pStyle w:val="Compact"/>
        <w:numPr>
          <w:ilvl w:val="0"/>
          <w:numId w:val="1003"/>
        </w:numPr>
      </w:pPr>
      <w:r>
        <w:t xml:space="preserve">Auditinformationen abrufen;</w:t>
      </w:r>
    </w:p>
    <w:p>
      <w:pPr>
        <w:pStyle w:val="Compact"/>
        <w:numPr>
          <w:ilvl w:val="0"/>
          <w:numId w:val="1003"/>
        </w:numPr>
      </w:pPr>
      <w:r>
        <w:t xml:space="preserve">Vertrags- und Tarifstatus verwalten;</w:t>
      </w:r>
    </w:p>
    <w:p>
      <w:pPr>
        <w:pStyle w:val="Compact"/>
        <w:numPr>
          <w:ilvl w:val="0"/>
          <w:numId w:val="1003"/>
        </w:numPr>
      </w:pPr>
      <w:r>
        <w:t xml:space="preserve">technische Datenschutzjobs überwachen;</w:t>
      </w:r>
    </w:p>
    <w:p>
      <w:pPr>
        <w:pStyle w:val="Compact"/>
        <w:numPr>
          <w:ilvl w:val="0"/>
          <w:numId w:val="1003"/>
        </w:numPr>
      </w:pPr>
      <w:r>
        <w:t xml:space="preserve">Restaurants aktivieren, pausieren oder sperren.</w:t>
      </w:r>
    </w:p>
    <w:p>
      <w:pPr>
        <w:pStyle w:val="FirstParagraph"/>
      </w:pPr>
      <w:r>
        <w:t xml:space="preserve">Der Plattform-Admin ist kein Bestandteil des Restaurantzugangs.</w:t>
      </w:r>
    </w:p>
    <w:bookmarkEnd w:id="25"/>
    <w:bookmarkStart w:id="26" w:name="restaurant-owner-portal"/>
    <w:p>
      <w:pPr>
        <w:pStyle w:val="Heading2"/>
      </w:pPr>
      <w:r>
        <w:t xml:space="preserve">4.2 Restaurant-Owner-Portal</w:t>
      </w:r>
    </w:p>
    <w:p>
      <w:pPr>
        <w:pStyle w:val="FirstParagraph"/>
      </w:pPr>
      <w:r>
        <w:t xml:space="preserve">Das Owner-Portal ermöglicht dem Kunden insbesondere:</w:t>
      </w:r>
    </w:p>
    <w:p>
      <w:pPr>
        <w:pStyle w:val="Compact"/>
        <w:numPr>
          <w:ilvl w:val="0"/>
          <w:numId w:val="1004"/>
        </w:numPr>
      </w:pPr>
      <w:r>
        <w:t xml:space="preserve">Restaurantdaten zu verwalten;</w:t>
      </w:r>
    </w:p>
    <w:p>
      <w:pPr>
        <w:pStyle w:val="Compact"/>
        <w:numPr>
          <w:ilvl w:val="0"/>
          <w:numId w:val="1004"/>
        </w:numPr>
      </w:pPr>
      <w:r>
        <w:t xml:space="preserve">Filialen anzulegen;</w:t>
      </w:r>
    </w:p>
    <w:p>
      <w:pPr>
        <w:pStyle w:val="Compact"/>
        <w:numPr>
          <w:ilvl w:val="0"/>
          <w:numId w:val="1004"/>
        </w:numPr>
      </w:pPr>
      <w:r>
        <w:t xml:space="preserve">Branding einzustellen;</w:t>
      </w:r>
    </w:p>
    <w:p>
      <w:pPr>
        <w:pStyle w:val="Compact"/>
        <w:numPr>
          <w:ilvl w:val="0"/>
          <w:numId w:val="1004"/>
        </w:numPr>
      </w:pPr>
      <w:r>
        <w:t xml:space="preserve">Mitarbeiter einzuladen;</w:t>
      </w:r>
    </w:p>
    <w:p>
      <w:pPr>
        <w:pStyle w:val="Compact"/>
        <w:numPr>
          <w:ilvl w:val="0"/>
          <w:numId w:val="1004"/>
        </w:numPr>
      </w:pPr>
      <w:r>
        <w:t xml:space="preserve">Rollen zu vergeben;</w:t>
      </w:r>
    </w:p>
    <w:p>
      <w:pPr>
        <w:pStyle w:val="Compact"/>
        <w:numPr>
          <w:ilvl w:val="0"/>
          <w:numId w:val="1004"/>
        </w:numPr>
      </w:pPr>
      <w:r>
        <w:t xml:space="preserve">Bonusregeln festzulegen;</w:t>
      </w:r>
    </w:p>
    <w:p>
      <w:pPr>
        <w:pStyle w:val="Compact"/>
        <w:numPr>
          <w:ilvl w:val="0"/>
          <w:numId w:val="1004"/>
        </w:numPr>
      </w:pPr>
      <w:r>
        <w:t xml:space="preserve">Rewards zu erstellen;</w:t>
      </w:r>
    </w:p>
    <w:p>
      <w:pPr>
        <w:pStyle w:val="Compact"/>
        <w:numPr>
          <w:ilvl w:val="0"/>
          <w:numId w:val="1004"/>
        </w:numPr>
      </w:pPr>
      <w:r>
        <w:t xml:space="preserve">Punkte- und Einlösestatistiken einzusehen;</w:t>
      </w:r>
    </w:p>
    <w:p>
      <w:pPr>
        <w:pStyle w:val="Compact"/>
        <w:numPr>
          <w:ilvl w:val="0"/>
          <w:numId w:val="1004"/>
        </w:numPr>
      </w:pPr>
      <w:r>
        <w:t xml:space="preserve">QR-Materialien abzurufen;</w:t>
      </w:r>
    </w:p>
    <w:p>
      <w:pPr>
        <w:pStyle w:val="Compact"/>
        <w:numPr>
          <w:ilvl w:val="0"/>
          <w:numId w:val="1004"/>
        </w:numPr>
      </w:pPr>
      <w:r>
        <w:t xml:space="preserve">Rechtstexte zu verwalten;</w:t>
      </w:r>
    </w:p>
    <w:p>
      <w:pPr>
        <w:pStyle w:val="Compact"/>
        <w:numPr>
          <w:ilvl w:val="0"/>
          <w:numId w:val="1004"/>
        </w:numPr>
      </w:pPr>
      <w:r>
        <w:t xml:space="preserve">Datenschutzanfragen einzusehen;</w:t>
      </w:r>
    </w:p>
    <w:p>
      <w:pPr>
        <w:pStyle w:val="Compact"/>
        <w:numPr>
          <w:ilvl w:val="0"/>
          <w:numId w:val="1004"/>
        </w:numPr>
      </w:pPr>
      <w:r>
        <w:t xml:space="preserve">Programmänderungen oder Programmende vorzubereiten.</w:t>
      </w:r>
    </w:p>
    <w:bookmarkEnd w:id="26"/>
    <w:bookmarkStart w:id="27" w:name="mitarbeiterportal"/>
    <w:p>
      <w:pPr>
        <w:pStyle w:val="Heading2"/>
      </w:pPr>
      <w:r>
        <w:t xml:space="preserve">4.3 Mitarbeiterportal</w:t>
      </w:r>
    </w:p>
    <w:p>
      <w:pPr>
        <w:pStyle w:val="FirstParagraph"/>
      </w:pPr>
      <w:r>
        <w:t xml:space="preserve">Das Mitarbeiterportal unterstützt operative Restaurantvorgänge.</w:t>
      </w:r>
    </w:p>
    <w:p>
      <w:pPr>
        <w:pStyle w:val="BodyText"/>
      </w:pPr>
      <w:r>
        <w:t xml:space="preserve">Mögliche Funktionen:</w:t>
      </w:r>
    </w:p>
    <w:p>
      <w:pPr>
        <w:pStyle w:val="Compact"/>
        <w:numPr>
          <w:ilvl w:val="0"/>
          <w:numId w:val="1005"/>
        </w:numPr>
      </w:pPr>
      <w:r>
        <w:t xml:space="preserve">Anzeige der aktuellen Tages-PIN;</w:t>
      </w:r>
    </w:p>
    <w:p>
      <w:pPr>
        <w:pStyle w:val="Compact"/>
        <w:numPr>
          <w:ilvl w:val="0"/>
          <w:numId w:val="1005"/>
        </w:numPr>
      </w:pPr>
      <w:r>
        <w:t xml:space="preserve">Prüfung und Bestätigung von Punktebuchungen;</w:t>
      </w:r>
    </w:p>
    <w:p>
      <w:pPr>
        <w:pStyle w:val="Compact"/>
        <w:numPr>
          <w:ilvl w:val="0"/>
          <w:numId w:val="1005"/>
        </w:numPr>
      </w:pPr>
      <w:r>
        <w:t xml:space="preserve">Prüfung von Reward-Einlösecodes;</w:t>
      </w:r>
    </w:p>
    <w:p>
      <w:pPr>
        <w:pStyle w:val="Compact"/>
        <w:numPr>
          <w:ilvl w:val="0"/>
          <w:numId w:val="1005"/>
        </w:numPr>
      </w:pPr>
      <w:r>
        <w:t xml:space="preserve">Anzeige eines konkreten Vorgangsstatus;</w:t>
      </w:r>
    </w:p>
    <w:p>
      <w:pPr>
        <w:pStyle w:val="Compact"/>
        <w:numPr>
          <w:ilvl w:val="0"/>
          <w:numId w:val="1005"/>
        </w:numPr>
      </w:pPr>
      <w:r>
        <w:t xml:space="preserve">Fehler- und Sicherheitsmeldungen;</w:t>
      </w:r>
    </w:p>
    <w:p>
      <w:pPr>
        <w:pStyle w:val="Compact"/>
        <w:numPr>
          <w:ilvl w:val="0"/>
          <w:numId w:val="1005"/>
        </w:numPr>
      </w:pPr>
      <w:r>
        <w:t xml:space="preserve">Zugriff auf filialbezogene operative Informationen.</w:t>
      </w:r>
    </w:p>
    <w:p>
      <w:pPr>
        <w:pStyle w:val="FirstParagraph"/>
      </w:pPr>
      <w:r>
        <w:t xml:space="preserve">Mitarbeiter erhalten grundsätzlich keinen vollständigen Zugriff auf Kundenprofile, Vertragsdaten oder Datenschutzanfragen.</w:t>
      </w:r>
    </w:p>
    <w:bookmarkEnd w:id="27"/>
    <w:bookmarkStart w:id="28" w:name="kundenportal"/>
    <w:p>
      <w:pPr>
        <w:pStyle w:val="Heading2"/>
      </w:pPr>
      <w:r>
        <w:t xml:space="preserve">4.4 Kundenportal</w:t>
      </w:r>
    </w:p>
    <w:p>
      <w:pPr>
        <w:pStyle w:val="FirstParagraph"/>
      </w:pPr>
      <w:r>
        <w:t xml:space="preserve">Das Kundenportal ermöglicht Gästen insbesondere:</w:t>
      </w:r>
    </w:p>
    <w:p>
      <w:pPr>
        <w:pStyle w:val="Compact"/>
        <w:numPr>
          <w:ilvl w:val="0"/>
          <w:numId w:val="1006"/>
        </w:numPr>
      </w:pPr>
      <w:r>
        <w:t xml:space="preserve">Teilnahme an einem konkreten Restaurantprogramm;</w:t>
      </w:r>
    </w:p>
    <w:p>
      <w:pPr>
        <w:pStyle w:val="Compact"/>
        <w:numPr>
          <w:ilvl w:val="0"/>
          <w:numId w:val="1006"/>
        </w:numPr>
      </w:pPr>
      <w:r>
        <w:t xml:space="preserve">Anzeige des restaurantbezogenen Punktestands;</w:t>
      </w:r>
    </w:p>
    <w:p>
      <w:pPr>
        <w:pStyle w:val="Compact"/>
        <w:numPr>
          <w:ilvl w:val="0"/>
          <w:numId w:val="1006"/>
        </w:numPr>
      </w:pPr>
      <w:r>
        <w:t xml:space="preserve">Punktebuchung nach Bestätigung;</w:t>
      </w:r>
    </w:p>
    <w:p>
      <w:pPr>
        <w:pStyle w:val="Compact"/>
        <w:numPr>
          <w:ilvl w:val="0"/>
          <w:numId w:val="1006"/>
        </w:numPr>
      </w:pPr>
      <w:r>
        <w:t xml:space="preserve">Anzeige verfügbarer Rewards;</w:t>
      </w:r>
    </w:p>
    <w:p>
      <w:pPr>
        <w:pStyle w:val="Compact"/>
        <w:numPr>
          <w:ilvl w:val="0"/>
          <w:numId w:val="1006"/>
        </w:numPr>
      </w:pPr>
      <w:r>
        <w:t xml:space="preserve">Aktivierung und Einlösung von Rewards;</w:t>
      </w:r>
    </w:p>
    <w:p>
      <w:pPr>
        <w:pStyle w:val="Compact"/>
        <w:numPr>
          <w:ilvl w:val="0"/>
          <w:numId w:val="1006"/>
        </w:numPr>
      </w:pPr>
      <w:r>
        <w:t xml:space="preserve">Anzeige eigener Restaurantbeziehungen;</w:t>
      </w:r>
    </w:p>
    <w:p>
      <w:pPr>
        <w:pStyle w:val="Compact"/>
        <w:numPr>
          <w:ilvl w:val="0"/>
          <w:numId w:val="1006"/>
        </w:numPr>
      </w:pPr>
      <w:r>
        <w:t xml:space="preserve">Verwaltung freiwilliger Consents;</w:t>
      </w:r>
    </w:p>
    <w:p>
      <w:pPr>
        <w:pStyle w:val="Compact"/>
        <w:numPr>
          <w:ilvl w:val="0"/>
          <w:numId w:val="1006"/>
        </w:numPr>
      </w:pPr>
      <w:r>
        <w:t xml:space="preserve">Zugriff auf Teilnahmebedingungen und Datenschutz;</w:t>
      </w:r>
    </w:p>
    <w:p>
      <w:pPr>
        <w:pStyle w:val="Compact"/>
        <w:numPr>
          <w:ilvl w:val="0"/>
          <w:numId w:val="1006"/>
        </w:numPr>
      </w:pPr>
      <w:r>
        <w:t xml:space="preserve">Anforderung eines Datenexports;</w:t>
      </w:r>
    </w:p>
    <w:p>
      <w:pPr>
        <w:pStyle w:val="Compact"/>
        <w:numPr>
          <w:ilvl w:val="0"/>
          <w:numId w:val="1006"/>
        </w:numPr>
      </w:pPr>
      <w:r>
        <w:t xml:space="preserve">Übermittlung einer Löschanfrage.</w:t>
      </w:r>
    </w:p>
    <w:bookmarkEnd w:id="28"/>
    <w:bookmarkStart w:id="29" w:name="öffentlicher-bereich"/>
    <w:p>
      <w:pPr>
        <w:pStyle w:val="Heading2"/>
      </w:pPr>
      <w:r>
        <w:t xml:space="preserve">4.5 Öffentlicher Bereich</w:t>
      </w:r>
    </w:p>
    <w:p>
      <w:pPr>
        <w:pStyle w:val="FirstParagraph"/>
      </w:pPr>
      <w:r>
        <w:t xml:space="preserve">Der öffentliche Bereich kann enthalten:</w:t>
      </w:r>
    </w:p>
    <w:p>
      <w:pPr>
        <w:pStyle w:val="Compact"/>
        <w:numPr>
          <w:ilvl w:val="0"/>
          <w:numId w:val="1007"/>
        </w:numPr>
      </w:pPr>
      <w:r>
        <w:t xml:space="preserve">Restaurantname;</w:t>
      </w:r>
    </w:p>
    <w:p>
      <w:pPr>
        <w:pStyle w:val="Compact"/>
        <w:numPr>
          <w:ilvl w:val="0"/>
          <w:numId w:val="1007"/>
        </w:numPr>
      </w:pPr>
      <w:r>
        <w:t xml:space="preserve">Restaurantlogo;</w:t>
      </w:r>
    </w:p>
    <w:p>
      <w:pPr>
        <w:pStyle w:val="Compact"/>
        <w:numPr>
          <w:ilvl w:val="0"/>
          <w:numId w:val="1007"/>
        </w:numPr>
      </w:pPr>
      <w:r>
        <w:t xml:space="preserve">Programmübersicht;</w:t>
      </w:r>
    </w:p>
    <w:p>
      <w:pPr>
        <w:pStyle w:val="Compact"/>
        <w:numPr>
          <w:ilvl w:val="0"/>
          <w:numId w:val="1007"/>
        </w:numPr>
      </w:pPr>
      <w:r>
        <w:t xml:space="preserve">öffentliche Rewards;</w:t>
      </w:r>
    </w:p>
    <w:p>
      <w:pPr>
        <w:pStyle w:val="Compact"/>
        <w:numPr>
          <w:ilvl w:val="0"/>
          <w:numId w:val="1007"/>
        </w:numPr>
      </w:pPr>
      <w:r>
        <w:t xml:space="preserve">Teilnahmebedingungen;</w:t>
      </w:r>
    </w:p>
    <w:p>
      <w:pPr>
        <w:pStyle w:val="Compact"/>
        <w:numPr>
          <w:ilvl w:val="0"/>
          <w:numId w:val="1007"/>
        </w:numPr>
      </w:pPr>
      <w:r>
        <w:t xml:space="preserve">Datenschutzerklärung;</w:t>
      </w:r>
    </w:p>
    <w:p>
      <w:pPr>
        <w:pStyle w:val="Compact"/>
        <w:numPr>
          <w:ilvl w:val="0"/>
          <w:numId w:val="1007"/>
        </w:numPr>
      </w:pPr>
      <w:r>
        <w:t xml:space="preserve">Impressum;</w:t>
      </w:r>
    </w:p>
    <w:p>
      <w:pPr>
        <w:pStyle w:val="Compact"/>
        <w:numPr>
          <w:ilvl w:val="0"/>
          <w:numId w:val="1007"/>
        </w:numPr>
      </w:pPr>
      <w:r>
        <w:t xml:space="preserve">Restaurantstandorte;</w:t>
      </w:r>
    </w:p>
    <w:p>
      <w:pPr>
        <w:pStyle w:val="Compact"/>
        <w:numPr>
          <w:ilvl w:val="0"/>
          <w:numId w:val="1007"/>
        </w:numPr>
      </w:pPr>
      <w:r>
        <w:t xml:space="preserve">Partnerrestaurant-Finder.</w:t>
      </w:r>
    </w:p>
    <w:p>
      <w:pPr>
        <w:pStyle w:val="FirstParagraph"/>
      </w:pPr>
      <w:r>
        <w:t xml:space="preserve">Personenbezogene Punktestände oder Einlösecodes werden nicht öffentlich angezeigt.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estaurant-onboarding"/>
    <w:p>
      <w:pPr>
        <w:pStyle w:val="Heading1"/>
      </w:pPr>
      <w:r>
        <w:t xml:space="preserve">5. Restaurant-Onboarding</w:t>
      </w:r>
    </w:p>
    <w:bookmarkStart w:id="31" w:name="onboarding-assistent"/>
    <w:p>
      <w:pPr>
        <w:pStyle w:val="Heading2"/>
      </w:pPr>
      <w:r>
        <w:t xml:space="preserve">5.1 Onboarding-Assistent</w:t>
      </w:r>
    </w:p>
    <w:p>
      <w:pPr>
        <w:pStyle w:val="FirstParagraph"/>
      </w:pPr>
      <w:r>
        <w:t xml:space="preserve">Die Plattform kann einen geführten Einrichtungsprozess bereitstellen.</w:t>
      </w:r>
    </w:p>
    <w:p>
      <w:pPr>
        <w:pStyle w:val="BodyText"/>
      </w:pPr>
      <w:r>
        <w:t xml:space="preserve">Dieser kann insbesondere umfassen:</w:t>
      </w:r>
    </w:p>
    <w:p>
      <w:pPr>
        <w:pStyle w:val="Compact"/>
        <w:numPr>
          <w:ilvl w:val="0"/>
          <w:numId w:val="1008"/>
        </w:numPr>
      </w:pPr>
      <w:r>
        <w:t xml:space="preserve">Unternehmens- und Restaurantdaten;</w:t>
      </w:r>
    </w:p>
    <w:p>
      <w:pPr>
        <w:pStyle w:val="Compact"/>
        <w:numPr>
          <w:ilvl w:val="0"/>
          <w:numId w:val="1008"/>
        </w:numPr>
      </w:pPr>
      <w:r>
        <w:t xml:space="preserve">Logo und Branding;</w:t>
      </w:r>
    </w:p>
    <w:p>
      <w:pPr>
        <w:pStyle w:val="Compact"/>
        <w:numPr>
          <w:ilvl w:val="0"/>
          <w:numId w:val="1008"/>
        </w:numPr>
      </w:pPr>
      <w:r>
        <w:t xml:space="preserve">Öffnungszeiten;</w:t>
      </w:r>
    </w:p>
    <w:p>
      <w:pPr>
        <w:pStyle w:val="Compact"/>
        <w:numPr>
          <w:ilvl w:val="0"/>
          <w:numId w:val="1008"/>
        </w:numPr>
      </w:pPr>
      <w:r>
        <w:t xml:space="preserve">Bonusregeln;</w:t>
      </w:r>
    </w:p>
    <w:p>
      <w:pPr>
        <w:pStyle w:val="Compact"/>
        <w:numPr>
          <w:ilvl w:val="0"/>
          <w:numId w:val="1008"/>
        </w:numPr>
      </w:pPr>
      <w:r>
        <w:t xml:space="preserve">Willkommensreward;</w:t>
      </w:r>
    </w:p>
    <w:p>
      <w:pPr>
        <w:pStyle w:val="Compact"/>
        <w:numPr>
          <w:ilvl w:val="0"/>
          <w:numId w:val="1008"/>
        </w:numPr>
      </w:pPr>
      <w:r>
        <w:t xml:space="preserve">Rewards;</w:t>
      </w:r>
    </w:p>
    <w:p>
      <w:pPr>
        <w:pStyle w:val="Compact"/>
        <w:numPr>
          <w:ilvl w:val="0"/>
          <w:numId w:val="1008"/>
        </w:numPr>
      </w:pPr>
      <w:r>
        <w:t xml:space="preserve">QR-Konfiguration;</w:t>
      </w:r>
    </w:p>
    <w:p>
      <w:pPr>
        <w:pStyle w:val="Compact"/>
        <w:numPr>
          <w:ilvl w:val="0"/>
          <w:numId w:val="1008"/>
        </w:numPr>
      </w:pPr>
      <w:r>
        <w:t xml:space="preserve">Mitarbeiterzugänge;</w:t>
      </w:r>
    </w:p>
    <w:p>
      <w:pPr>
        <w:pStyle w:val="Compact"/>
        <w:numPr>
          <w:ilvl w:val="0"/>
          <w:numId w:val="1008"/>
        </w:numPr>
      </w:pPr>
      <w:r>
        <w:t xml:space="preserve">Rechtstexte und Pflichtinformationen;</w:t>
      </w:r>
    </w:p>
    <w:p>
      <w:pPr>
        <w:pStyle w:val="Compact"/>
        <w:numPr>
          <w:ilvl w:val="0"/>
          <w:numId w:val="1008"/>
        </w:numPr>
      </w:pPr>
      <w:r>
        <w:t xml:space="preserve">Freigabevorschau.</w:t>
      </w:r>
    </w:p>
    <w:bookmarkEnd w:id="31"/>
    <w:bookmarkStart w:id="32" w:name="legal-readiness"/>
    <w:p>
      <w:pPr>
        <w:pStyle w:val="Heading2"/>
      </w:pPr>
      <w:r>
        <w:t xml:space="preserve">5.2 Legal-Readiness</w:t>
      </w:r>
    </w:p>
    <w:p>
      <w:pPr>
        <w:pStyle w:val="FirstParagraph"/>
      </w:pPr>
      <w:r>
        <w:t xml:space="preserve">Ein Restaurant kann technisch daran gehindert werden, den Status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zu erhalten, solange notwendige Informationen fehlen.</w:t>
      </w:r>
    </w:p>
    <w:p>
      <w:pPr>
        <w:pStyle w:val="BodyText"/>
      </w:pPr>
      <w:r>
        <w:t xml:space="preserve">Dazu können gehören:</w:t>
      </w:r>
    </w:p>
    <w:p>
      <w:pPr>
        <w:pStyle w:val="Compact"/>
        <w:numPr>
          <w:ilvl w:val="0"/>
          <w:numId w:val="1009"/>
        </w:numPr>
      </w:pPr>
      <w:r>
        <w:t xml:space="preserve">Rechtsträger;</w:t>
      </w:r>
    </w:p>
    <w:p>
      <w:pPr>
        <w:pStyle w:val="Compact"/>
        <w:numPr>
          <w:ilvl w:val="0"/>
          <w:numId w:val="1009"/>
        </w:numPr>
      </w:pPr>
      <w:r>
        <w:t xml:space="preserve">Anschrift;</w:t>
      </w:r>
    </w:p>
    <w:p>
      <w:pPr>
        <w:pStyle w:val="Compact"/>
        <w:numPr>
          <w:ilvl w:val="0"/>
          <w:numId w:val="1009"/>
        </w:numPr>
      </w:pPr>
      <w:r>
        <w:t xml:space="preserve">Kontakt;</w:t>
      </w:r>
    </w:p>
    <w:p>
      <w:pPr>
        <w:pStyle w:val="Compact"/>
        <w:numPr>
          <w:ilvl w:val="0"/>
          <w:numId w:val="1009"/>
        </w:numPr>
      </w:pPr>
      <w:r>
        <w:t xml:space="preserve">Restaurant-Impressum;</w:t>
      </w:r>
    </w:p>
    <w:p>
      <w:pPr>
        <w:pStyle w:val="Compact"/>
        <w:numPr>
          <w:ilvl w:val="0"/>
          <w:numId w:val="1009"/>
        </w:numPr>
      </w:pPr>
      <w:r>
        <w:t xml:space="preserve">Teilnahmebedingungen;</w:t>
      </w:r>
    </w:p>
    <w:p>
      <w:pPr>
        <w:pStyle w:val="Compact"/>
        <w:numPr>
          <w:ilvl w:val="0"/>
          <w:numId w:val="1009"/>
        </w:numPr>
      </w:pPr>
      <w:r>
        <w:t xml:space="preserve">Restaurant-Datenschutzerklärung;</w:t>
      </w:r>
    </w:p>
    <w:p>
      <w:pPr>
        <w:pStyle w:val="Compact"/>
        <w:numPr>
          <w:ilvl w:val="0"/>
          <w:numId w:val="1009"/>
        </w:numPr>
      </w:pPr>
      <w:r>
        <w:t xml:space="preserve">Punktegültigkeit;</w:t>
      </w:r>
    </w:p>
    <w:p>
      <w:pPr>
        <w:pStyle w:val="Compact"/>
        <w:numPr>
          <w:ilvl w:val="0"/>
          <w:numId w:val="1009"/>
        </w:numPr>
      </w:pPr>
      <w:r>
        <w:t xml:space="preserve">Rewardgültigkeit;</w:t>
      </w:r>
    </w:p>
    <w:p>
      <w:pPr>
        <w:pStyle w:val="Compact"/>
        <w:numPr>
          <w:ilvl w:val="0"/>
          <w:numId w:val="1009"/>
        </w:numPr>
      </w:pPr>
      <w:r>
        <w:t xml:space="preserve">Beschwerdekontakt;</w:t>
      </w:r>
    </w:p>
    <w:p>
      <w:pPr>
        <w:pStyle w:val="Compact"/>
        <w:numPr>
          <w:ilvl w:val="0"/>
          <w:numId w:val="1009"/>
        </w:numPr>
      </w:pPr>
      <w:r>
        <w:t xml:space="preserve">angenommener Auftragsverarbeitungsvertrag.</w:t>
      </w:r>
    </w:p>
    <w:p>
      <w:pPr>
        <w:pStyle w:val="FirstParagraph"/>
      </w:pPr>
      <w:r>
        <w:t xml:space="preserve">Eine technische Vollständigkeitsprüfung ist keine anwaltliche Prüfung.</w:t>
      </w:r>
    </w:p>
    <w:bookmarkEnd w:id="32"/>
    <w:bookmarkStart w:id="33" w:name="testmodus"/>
    <w:p>
      <w:pPr>
        <w:pStyle w:val="Heading2"/>
      </w:pPr>
      <w:r>
        <w:t xml:space="preserve">5.3 Testmodus</w:t>
      </w:r>
    </w:p>
    <w:p>
      <w:pPr>
        <w:pStyle w:val="FirstParagraph"/>
      </w:pPr>
      <w:r>
        <w:t xml:space="preserve">WUXUAI kann einen Testmodus bereitstellen.</w:t>
      </w:r>
    </w:p>
    <w:p>
      <w:pPr>
        <w:pStyle w:val="BodyText"/>
      </w:pPr>
      <w:r>
        <w:t xml:space="preserve">Im Testmodus können:</w:t>
      </w:r>
    </w:p>
    <w:p>
      <w:pPr>
        <w:pStyle w:val="Compact"/>
        <w:numPr>
          <w:ilvl w:val="0"/>
          <w:numId w:val="1010"/>
        </w:numPr>
      </w:pPr>
      <w:r>
        <w:t xml:space="preserve">Funktionen eingeschränkt sein;</w:t>
      </w:r>
    </w:p>
    <w:p>
      <w:pPr>
        <w:pStyle w:val="Compact"/>
        <w:numPr>
          <w:ilvl w:val="0"/>
          <w:numId w:val="1010"/>
        </w:numPr>
      </w:pPr>
      <w:r>
        <w:t xml:space="preserve">Testdaten verwendet werden;</w:t>
      </w:r>
    </w:p>
    <w:p>
      <w:pPr>
        <w:pStyle w:val="Compact"/>
        <w:numPr>
          <w:ilvl w:val="0"/>
          <w:numId w:val="1010"/>
        </w:numPr>
      </w:pPr>
      <w:r>
        <w:t xml:space="preserve">öffentliche Sichtbarkeit deaktiviert sein;</w:t>
      </w:r>
    </w:p>
    <w:p>
      <w:pPr>
        <w:pStyle w:val="Compact"/>
        <w:numPr>
          <w:ilvl w:val="0"/>
          <w:numId w:val="1010"/>
        </w:numPr>
      </w:pPr>
      <w:r>
        <w:t xml:space="preserve">bestimmte Nachrichtendienste deaktiviert sein;</w:t>
      </w:r>
    </w:p>
    <w:p>
      <w:pPr>
        <w:pStyle w:val="Compact"/>
        <w:numPr>
          <w:ilvl w:val="0"/>
          <w:numId w:val="1010"/>
        </w:numPr>
      </w:pPr>
      <w:r>
        <w:t xml:space="preserve">Abrechnung ausgesetzt sein.</w:t>
      </w:r>
    </w:p>
    <w:p>
      <w:pPr>
        <w:pStyle w:val="FirstParagraph"/>
      </w:pPr>
      <w:r>
        <w:t xml:space="preserve">Echte Gastdaten dürfen nur verarbeitet werden, wenn dies für den jeweiligen Test ausdrücklich freigegeben und datenschutzrechtlich vorbereitet wurde.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restaurant--und-filialverwaltung"/>
    <w:p>
      <w:pPr>
        <w:pStyle w:val="Heading1"/>
      </w:pPr>
      <w:r>
        <w:t xml:space="preserve">6. Restaurant- und Filialverwaltung</w:t>
      </w:r>
    </w:p>
    <w:bookmarkStart w:id="35" w:name="restaurantkonto"/>
    <w:p>
      <w:pPr>
        <w:pStyle w:val="Heading2"/>
      </w:pPr>
      <w:r>
        <w:t xml:space="preserve">6.1 Restaurantkonto</w:t>
      </w:r>
    </w:p>
    <w:p>
      <w:pPr>
        <w:pStyle w:val="FirstParagraph"/>
      </w:pPr>
      <w:r>
        <w:t xml:space="preserve">Jeder Kunde erhält mindestens ein Restaurantkonto beziehungsweise einen Unternehmensbereich.</w:t>
      </w:r>
    </w:p>
    <w:p>
      <w:pPr>
        <w:pStyle w:val="BodyText"/>
      </w:pPr>
      <w:r>
        <w:t xml:space="preserve">Das Restaurantkonto enthält insbesondere:</w:t>
      </w:r>
    </w:p>
    <w:p>
      <w:pPr>
        <w:pStyle w:val="Compact"/>
        <w:numPr>
          <w:ilvl w:val="0"/>
          <w:numId w:val="1011"/>
        </w:numPr>
      </w:pPr>
      <w:r>
        <w:t xml:space="preserve">Rechtsträger;</w:t>
      </w:r>
    </w:p>
    <w:p>
      <w:pPr>
        <w:pStyle w:val="Compact"/>
        <w:numPr>
          <w:ilvl w:val="0"/>
          <w:numId w:val="1011"/>
        </w:numPr>
      </w:pPr>
      <w:r>
        <w:t xml:space="preserve">Restaurantname;</w:t>
      </w:r>
    </w:p>
    <w:p>
      <w:pPr>
        <w:pStyle w:val="Compact"/>
        <w:numPr>
          <w:ilvl w:val="0"/>
          <w:numId w:val="1011"/>
        </w:numPr>
      </w:pPr>
      <w:r>
        <w:t xml:space="preserve">Restaurant-Slug;</w:t>
      </w:r>
    </w:p>
    <w:p>
      <w:pPr>
        <w:pStyle w:val="Compact"/>
        <w:numPr>
          <w:ilvl w:val="0"/>
          <w:numId w:val="1011"/>
        </w:numPr>
      </w:pPr>
      <w:r>
        <w:t xml:space="preserve">Branding;</w:t>
      </w:r>
    </w:p>
    <w:p>
      <w:pPr>
        <w:pStyle w:val="Compact"/>
        <w:numPr>
          <w:ilvl w:val="0"/>
          <w:numId w:val="1011"/>
        </w:numPr>
      </w:pPr>
      <w:r>
        <w:t xml:space="preserve">Kontaktinformationen;</w:t>
      </w:r>
    </w:p>
    <w:p>
      <w:pPr>
        <w:pStyle w:val="Compact"/>
        <w:numPr>
          <w:ilvl w:val="0"/>
          <w:numId w:val="1011"/>
        </w:numPr>
      </w:pPr>
      <w:r>
        <w:t xml:space="preserve">Programmkonfiguration;</w:t>
      </w:r>
    </w:p>
    <w:p>
      <w:pPr>
        <w:pStyle w:val="Compact"/>
        <w:numPr>
          <w:ilvl w:val="0"/>
          <w:numId w:val="1011"/>
        </w:numPr>
      </w:pPr>
      <w:r>
        <w:t xml:space="preserve">Rollen und Benutzer;</w:t>
      </w:r>
    </w:p>
    <w:p>
      <w:pPr>
        <w:pStyle w:val="Compact"/>
        <w:numPr>
          <w:ilvl w:val="0"/>
          <w:numId w:val="1011"/>
        </w:numPr>
      </w:pPr>
      <w:r>
        <w:t xml:space="preserve">rechtliche Dokumente;</w:t>
      </w:r>
    </w:p>
    <w:p>
      <w:pPr>
        <w:pStyle w:val="Compact"/>
        <w:numPr>
          <w:ilvl w:val="0"/>
          <w:numId w:val="1011"/>
        </w:numPr>
      </w:pPr>
      <w:r>
        <w:t xml:space="preserve">technische Einstellungen.</w:t>
      </w:r>
    </w:p>
    <w:bookmarkEnd w:id="35"/>
    <w:bookmarkStart w:id="36" w:name="filialen"/>
    <w:p>
      <w:pPr>
        <w:pStyle w:val="Heading2"/>
      </w:pPr>
      <w:r>
        <w:t xml:space="preserve">6.2 Filialen</w:t>
      </w:r>
    </w:p>
    <w:p>
      <w:pPr>
        <w:pStyle w:val="FirstParagraph"/>
      </w:pPr>
      <w:r>
        <w:t xml:space="preserve">Je nach Tarif können mehrere Filialen verwaltet werden.</w:t>
      </w:r>
    </w:p>
    <w:p>
      <w:pPr>
        <w:pStyle w:val="BodyText"/>
      </w:pPr>
      <w:r>
        <w:t xml:space="preserve">Filialbezogene Informationen können enthalten:</w:t>
      </w:r>
    </w:p>
    <w:p>
      <w:pPr>
        <w:pStyle w:val="Compact"/>
        <w:numPr>
          <w:ilvl w:val="0"/>
          <w:numId w:val="1012"/>
        </w:numPr>
      </w:pPr>
      <w:r>
        <w:t xml:space="preserve">Name;</w:t>
      </w:r>
    </w:p>
    <w:p>
      <w:pPr>
        <w:pStyle w:val="Compact"/>
        <w:numPr>
          <w:ilvl w:val="0"/>
          <w:numId w:val="1012"/>
        </w:numPr>
      </w:pPr>
      <w:r>
        <w:t xml:space="preserve">Anschrift;</w:t>
      </w:r>
    </w:p>
    <w:p>
      <w:pPr>
        <w:pStyle w:val="Compact"/>
        <w:numPr>
          <w:ilvl w:val="0"/>
          <w:numId w:val="1012"/>
        </w:numPr>
      </w:pPr>
      <w:r>
        <w:t xml:space="preserve">Koordinaten;</w:t>
      </w:r>
    </w:p>
    <w:p>
      <w:pPr>
        <w:pStyle w:val="Compact"/>
        <w:numPr>
          <w:ilvl w:val="0"/>
          <w:numId w:val="1012"/>
        </w:numPr>
      </w:pPr>
      <w:r>
        <w:t xml:space="preserve">Öffnungszeiten;</w:t>
      </w:r>
    </w:p>
    <w:p>
      <w:pPr>
        <w:pStyle w:val="Compact"/>
        <w:numPr>
          <w:ilvl w:val="0"/>
          <w:numId w:val="1012"/>
        </w:numPr>
      </w:pPr>
      <w:r>
        <w:t xml:space="preserve">Kontakt;</w:t>
      </w:r>
    </w:p>
    <w:p>
      <w:pPr>
        <w:pStyle w:val="Compact"/>
        <w:numPr>
          <w:ilvl w:val="0"/>
          <w:numId w:val="1012"/>
        </w:numPr>
      </w:pPr>
      <w:r>
        <w:t xml:space="preserve">Mitarbeiter;</w:t>
      </w:r>
    </w:p>
    <w:p>
      <w:pPr>
        <w:pStyle w:val="Compact"/>
        <w:numPr>
          <w:ilvl w:val="0"/>
          <w:numId w:val="1012"/>
        </w:numPr>
      </w:pPr>
      <w:r>
        <w:t xml:space="preserve">Tages-PIN;</w:t>
      </w:r>
    </w:p>
    <w:p>
      <w:pPr>
        <w:pStyle w:val="Compact"/>
        <w:numPr>
          <w:ilvl w:val="0"/>
          <w:numId w:val="1012"/>
        </w:numPr>
      </w:pPr>
      <w:r>
        <w:t xml:space="preserve">QR-Code;</w:t>
      </w:r>
    </w:p>
    <w:p>
      <w:pPr>
        <w:pStyle w:val="Compact"/>
        <w:numPr>
          <w:ilvl w:val="0"/>
          <w:numId w:val="1012"/>
        </w:numPr>
      </w:pPr>
      <w:r>
        <w:t xml:space="preserve">Rewards;</w:t>
      </w:r>
    </w:p>
    <w:p>
      <w:pPr>
        <w:pStyle w:val="Compact"/>
        <w:numPr>
          <w:ilvl w:val="0"/>
          <w:numId w:val="1012"/>
        </w:numPr>
      </w:pPr>
      <w:r>
        <w:t xml:space="preserve">Punkte- und Einlöseereignisse.</w:t>
      </w:r>
    </w:p>
    <w:bookmarkEnd w:id="36"/>
    <w:bookmarkStart w:id="37" w:name="mandantentrennung"/>
    <w:p>
      <w:pPr>
        <w:pStyle w:val="Heading2"/>
      </w:pPr>
      <w:r>
        <w:t xml:space="preserve">6.3 Mandantentrennung</w:t>
      </w:r>
    </w:p>
    <w:p>
      <w:pPr>
        <w:pStyle w:val="FirstParagraph"/>
      </w:pPr>
      <w:r>
        <w:t xml:space="preserve">Daten eines Restaurantunternehmens werden logisch von Daten anderer Restaurantunternehmen getrennt.</w:t>
      </w:r>
    </w:p>
    <w:p>
      <w:pPr>
        <w:pStyle w:val="BodyText"/>
      </w:pPr>
      <w:r>
        <w:t xml:space="preserve">Restaurantrollen dürfen grundsätzlich nur auf Daten des zugeordneten Unternehmens beziehungsweise der zugeordneten Filiale zugreifen.</w:t>
      </w:r>
    </w:p>
    <w:bookmarkEnd w:id="37"/>
    <w:bookmarkStart w:id="38" w:name="rechtsträger"/>
    <w:p>
      <w:pPr>
        <w:pStyle w:val="Heading2"/>
      </w:pPr>
      <w:r>
        <w:t xml:space="preserve">6.4 Rechtsträger</w:t>
      </w:r>
    </w:p>
    <w:p>
      <w:pPr>
        <w:pStyle w:val="FirstParagraph"/>
      </w:pPr>
      <w:r>
        <w:t xml:space="preserve">Mehrere Marken oder Filialen dürfen nur dann unter einem gemeinsamen Restaurantkonto geführt werden, wenn die vertragliche und datenschutzrechtliche Zuordnung korrekt abgebildet wird.</w:t>
      </w:r>
    </w:p>
    <w:p>
      <w:pPr>
        <w:pStyle w:val="BodyText"/>
      </w:pPr>
      <w:r>
        <w:t xml:space="preserve">Ein Wechsel des Rechtsträgers ist kein bloßes Stammdatenupdate und kann einen gesonderten Migrations- und Freigabeprozess erfordern.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randing-und-white-label-darstellung"/>
    <w:p>
      <w:pPr>
        <w:pStyle w:val="Heading1"/>
      </w:pPr>
      <w:r>
        <w:t xml:space="preserve">7. Branding und White-Label-Darstellung</w:t>
      </w:r>
    </w:p>
    <w:bookmarkStart w:id="40" w:name="anpassbare-elemente"/>
    <w:p>
      <w:pPr>
        <w:pStyle w:val="Heading2"/>
      </w:pPr>
      <w:r>
        <w:t xml:space="preserve">7.1 Anpassbare Elemente</w:t>
      </w:r>
    </w:p>
    <w:p>
      <w:pPr>
        <w:pStyle w:val="FirstParagraph"/>
      </w:pPr>
      <w:r>
        <w:t xml:space="preserve">Je nach Tarif kann der Kunde insbesondere anpassen:</w:t>
      </w:r>
    </w:p>
    <w:p>
      <w:pPr>
        <w:pStyle w:val="Compact"/>
        <w:numPr>
          <w:ilvl w:val="0"/>
          <w:numId w:val="1013"/>
        </w:numPr>
      </w:pPr>
      <w:r>
        <w:t xml:space="preserve">Restaurantname;</w:t>
      </w:r>
    </w:p>
    <w:p>
      <w:pPr>
        <w:pStyle w:val="Compact"/>
        <w:numPr>
          <w:ilvl w:val="0"/>
          <w:numId w:val="1013"/>
        </w:numPr>
      </w:pPr>
      <w:r>
        <w:t xml:space="preserve">Logo;</w:t>
      </w:r>
    </w:p>
    <w:p>
      <w:pPr>
        <w:pStyle w:val="Compact"/>
        <w:numPr>
          <w:ilvl w:val="0"/>
          <w:numId w:val="1013"/>
        </w:numPr>
      </w:pPr>
      <w:r>
        <w:t xml:space="preserve">Titelbild;</w:t>
      </w:r>
    </w:p>
    <w:p>
      <w:pPr>
        <w:pStyle w:val="Compact"/>
        <w:numPr>
          <w:ilvl w:val="0"/>
          <w:numId w:val="1013"/>
        </w:numPr>
      </w:pPr>
      <w:r>
        <w:t xml:space="preserve">Beschreibung;</w:t>
      </w:r>
    </w:p>
    <w:p>
      <w:pPr>
        <w:pStyle w:val="Compact"/>
        <w:numPr>
          <w:ilvl w:val="0"/>
          <w:numId w:val="1013"/>
        </w:numPr>
      </w:pPr>
      <w:r>
        <w:t xml:space="preserve">Akzentdarstellung;</w:t>
      </w:r>
    </w:p>
    <w:p>
      <w:pPr>
        <w:pStyle w:val="Compact"/>
        <w:numPr>
          <w:ilvl w:val="0"/>
          <w:numId w:val="1013"/>
        </w:numPr>
      </w:pPr>
      <w:r>
        <w:t xml:space="preserve">Kontaktangaben;</w:t>
      </w:r>
    </w:p>
    <w:p>
      <w:pPr>
        <w:pStyle w:val="Compact"/>
        <w:numPr>
          <w:ilvl w:val="0"/>
          <w:numId w:val="1013"/>
        </w:numPr>
      </w:pPr>
      <w:r>
        <w:t xml:space="preserve">Rewardbilder;</w:t>
      </w:r>
    </w:p>
    <w:p>
      <w:pPr>
        <w:pStyle w:val="Compact"/>
        <w:numPr>
          <w:ilvl w:val="0"/>
          <w:numId w:val="1013"/>
        </w:numPr>
      </w:pPr>
      <w:r>
        <w:t xml:space="preserve">Restaurantstandorte.</w:t>
      </w:r>
    </w:p>
    <w:bookmarkEnd w:id="40"/>
    <w:bookmarkStart w:id="41" w:name="designsystem"/>
    <w:p>
      <w:pPr>
        <w:pStyle w:val="Heading2"/>
      </w:pPr>
      <w:r>
        <w:t xml:space="preserve">7.2 Designsystem</w:t>
      </w:r>
    </w:p>
    <w:p>
      <w:pPr>
        <w:pStyle w:val="FirstParagraph"/>
      </w:pPr>
      <w:r>
        <w:t xml:space="preserve">Die Plattform verwendet ein einheitliches WUXUAI-Designsystem.</w:t>
      </w:r>
    </w:p>
    <w:p>
      <w:pPr>
        <w:pStyle w:val="BodyText"/>
      </w:pPr>
      <w:r>
        <w:t xml:space="preserve">Der Kunde erhält kein uneingeschränktes Recht, die gesamte Benutzeroberfläche oder technische Navigation zu verändern.</w:t>
      </w:r>
    </w:p>
    <w:bookmarkEnd w:id="41"/>
    <w:bookmarkStart w:id="42" w:name="inhaltsverantwortung"/>
    <w:p>
      <w:pPr>
        <w:pStyle w:val="Heading2"/>
      </w:pPr>
      <w:r>
        <w:t xml:space="preserve">7.3 Inhaltsverantwortung</w:t>
      </w:r>
    </w:p>
    <w:p>
      <w:pPr>
        <w:pStyle w:val="FirstParagraph"/>
      </w:pPr>
      <w:r>
        <w:t xml:space="preserve">Der Kunde ist verantwortlich für:</w:t>
      </w:r>
    </w:p>
    <w:p>
      <w:pPr>
        <w:pStyle w:val="Compact"/>
        <w:numPr>
          <w:ilvl w:val="0"/>
          <w:numId w:val="1014"/>
        </w:numPr>
      </w:pPr>
      <w:r>
        <w:t xml:space="preserve">Nutzungsrechte an Logos und Bildern;</w:t>
      </w:r>
    </w:p>
    <w:p>
      <w:pPr>
        <w:pStyle w:val="Compact"/>
        <w:numPr>
          <w:ilvl w:val="0"/>
          <w:numId w:val="1014"/>
        </w:numPr>
      </w:pPr>
      <w:r>
        <w:t xml:space="preserve">Richtigkeit der Angaben;</w:t>
      </w:r>
    </w:p>
    <w:p>
      <w:pPr>
        <w:pStyle w:val="Compact"/>
        <w:numPr>
          <w:ilvl w:val="0"/>
          <w:numId w:val="1014"/>
        </w:numPr>
      </w:pPr>
      <w:r>
        <w:t xml:space="preserve">angemessene Bildqualität;</w:t>
      </w:r>
    </w:p>
    <w:p>
      <w:pPr>
        <w:pStyle w:val="Compact"/>
        <w:numPr>
          <w:ilvl w:val="0"/>
          <w:numId w:val="1014"/>
        </w:numPr>
      </w:pPr>
      <w:r>
        <w:t xml:space="preserve">verständliche Rewardtexte;</w:t>
      </w:r>
    </w:p>
    <w:p>
      <w:pPr>
        <w:pStyle w:val="Compact"/>
        <w:numPr>
          <w:ilvl w:val="0"/>
          <w:numId w:val="1014"/>
        </w:numPr>
      </w:pPr>
      <w:r>
        <w:t xml:space="preserve">barrierefreie und rechtmäßige Inhalte.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qr-basierte-registrierung"/>
    <w:p>
      <w:pPr>
        <w:pStyle w:val="Heading1"/>
      </w:pPr>
      <w:r>
        <w:t xml:space="preserve">8. QR-basierte Registrierung</w:t>
      </w:r>
    </w:p>
    <w:bookmarkStart w:id="44" w:name="restaurantbezogener-qr-code"/>
    <w:p>
      <w:pPr>
        <w:pStyle w:val="Heading2"/>
      </w:pPr>
      <w:r>
        <w:t xml:space="preserve">8.1 Restaurantbezogener QR-Code</w:t>
      </w:r>
    </w:p>
    <w:p>
      <w:pPr>
        <w:pStyle w:val="FirstParagraph"/>
      </w:pPr>
      <w:r>
        <w:t xml:space="preserve">Die Plattform erzeugt beziehungsweise verwaltet einen restaurantbezogenen QR-Einstieg.</w:t>
      </w:r>
    </w:p>
    <w:p>
      <w:pPr>
        <w:pStyle w:val="BodyText"/>
      </w:pPr>
      <w:r>
        <w:t xml:space="preserve">Der QR-Code enthält oder verweist auf:</w:t>
      </w:r>
    </w:p>
    <w:p>
      <w:pPr>
        <w:pStyle w:val="Compact"/>
        <w:numPr>
          <w:ilvl w:val="0"/>
          <w:numId w:val="1015"/>
        </w:numPr>
      </w:pPr>
      <w:r>
        <w:t xml:space="preserve">Restaurant-Slug;</w:t>
      </w:r>
    </w:p>
    <w:p>
      <w:pPr>
        <w:pStyle w:val="Compact"/>
        <w:numPr>
          <w:ilvl w:val="0"/>
          <w:numId w:val="1015"/>
        </w:numPr>
      </w:pPr>
      <w:r>
        <w:t xml:space="preserve">technischen Restaurantkontext;</w:t>
      </w:r>
    </w:p>
    <w:p>
      <w:pPr>
        <w:pStyle w:val="Compact"/>
        <w:numPr>
          <w:ilvl w:val="0"/>
          <w:numId w:val="1015"/>
        </w:numPr>
      </w:pPr>
      <w:r>
        <w:t xml:space="preserve">erforderliche Sicherheits- oder Zuordnungsinformationen.</w:t>
      </w:r>
    </w:p>
    <w:bookmarkEnd w:id="44"/>
    <w:bookmarkStart w:id="45" w:name="restaurantkontext"/>
    <w:p>
      <w:pPr>
        <w:pStyle w:val="Heading2"/>
      </w:pPr>
      <w:r>
        <w:t xml:space="preserve">8.2 Restaurantkontext</w:t>
      </w:r>
    </w:p>
    <w:p>
      <w:pPr>
        <w:pStyle w:val="FirstParagraph"/>
      </w:pPr>
      <w:r>
        <w:t xml:space="preserve">Beim Öffnen wird der Restaurantkontext serverseitig beziehungsweise über vertrauenswürdige Plattformlogik aufgelöst.</w:t>
      </w:r>
    </w:p>
    <w:p>
      <w:pPr>
        <w:pStyle w:val="BodyText"/>
      </w:pPr>
      <w:r>
        <w:t xml:space="preserve">URL- und Tokeninformationen können gegenüber veralteten lokal gespeicherten Informationen Vorrang haben.</w:t>
      </w:r>
    </w:p>
    <w:bookmarkEnd w:id="45"/>
    <w:bookmarkStart w:id="46" w:name="registrierungsdaten"/>
    <w:p>
      <w:pPr>
        <w:pStyle w:val="Heading2"/>
      </w:pPr>
      <w:r>
        <w:t xml:space="preserve">8.3 Registrierungsdaten</w:t>
      </w:r>
    </w:p>
    <w:p>
      <w:pPr>
        <w:pStyle w:val="FirstParagraph"/>
      </w:pPr>
      <w:r>
        <w:t xml:space="preserve">Je nach Konfiguration werden insbesondere abgefragt:</w:t>
      </w:r>
    </w:p>
    <w:p>
      <w:pPr>
        <w:pStyle w:val="Compact"/>
        <w:numPr>
          <w:ilvl w:val="0"/>
          <w:numId w:val="1016"/>
        </w:numPr>
      </w:pPr>
      <w:r>
        <w:t xml:space="preserve">Vorname;</w:t>
      </w:r>
    </w:p>
    <w:p>
      <w:pPr>
        <w:pStyle w:val="Compact"/>
        <w:numPr>
          <w:ilvl w:val="0"/>
          <w:numId w:val="1016"/>
        </w:numPr>
      </w:pPr>
      <w:r>
        <w:t xml:space="preserve">Telefonnummer;</w:t>
      </w:r>
    </w:p>
    <w:p>
      <w:pPr>
        <w:pStyle w:val="Compact"/>
        <w:numPr>
          <w:ilvl w:val="0"/>
          <w:numId w:val="1016"/>
        </w:numPr>
      </w:pPr>
      <w:r>
        <w:t xml:space="preserve">optionale E-Mail-Adresse;</w:t>
      </w:r>
    </w:p>
    <w:p>
      <w:pPr>
        <w:pStyle w:val="Compact"/>
        <w:numPr>
          <w:ilvl w:val="0"/>
          <w:numId w:val="1016"/>
        </w:numPr>
      </w:pPr>
      <w:r>
        <w:t xml:space="preserve">Sprache;</w:t>
      </w:r>
    </w:p>
    <w:p>
      <w:pPr>
        <w:pStyle w:val="Compact"/>
        <w:numPr>
          <w:ilvl w:val="0"/>
          <w:numId w:val="1016"/>
        </w:numPr>
      </w:pPr>
      <w:r>
        <w:t xml:space="preserve">Pflichtannahmen;</w:t>
      </w:r>
    </w:p>
    <w:p>
      <w:pPr>
        <w:pStyle w:val="Compact"/>
        <w:numPr>
          <w:ilvl w:val="0"/>
          <w:numId w:val="1016"/>
        </w:numPr>
      </w:pPr>
      <w:r>
        <w:t xml:space="preserve">optionale Marketingconsents.</w:t>
      </w:r>
    </w:p>
    <w:bookmarkEnd w:id="46"/>
    <w:bookmarkStart w:id="47" w:name="passwortloses-kundenmodell"/>
    <w:p>
      <w:pPr>
        <w:pStyle w:val="Heading2"/>
      </w:pPr>
      <w:r>
        <w:t xml:space="preserve">8.4 Passwortloses Kundenmodell</w:t>
      </w:r>
    </w:p>
    <w:p>
      <w:pPr>
        <w:pStyle w:val="FirstParagraph"/>
      </w:pPr>
      <w:r>
        <w:t xml:space="preserve">Die Plattform kann für Gäste ein passwortloses Kundenmodell verwenden.</w:t>
      </w:r>
    </w:p>
    <w:p>
      <w:pPr>
        <w:pStyle w:val="BodyText"/>
      </w:pPr>
      <w:r>
        <w:t xml:space="preserve">Identität und Wiedererkennung können insbesondere erfolgen über:</w:t>
      </w:r>
    </w:p>
    <w:p>
      <w:pPr>
        <w:pStyle w:val="Compact"/>
        <w:numPr>
          <w:ilvl w:val="0"/>
          <w:numId w:val="1017"/>
        </w:numPr>
      </w:pPr>
      <w:r>
        <w:t xml:space="preserve">restaurantbezogenen Customer-Token;</w:t>
      </w:r>
    </w:p>
    <w:p>
      <w:pPr>
        <w:pStyle w:val="Compact"/>
        <w:numPr>
          <w:ilvl w:val="0"/>
          <w:numId w:val="1017"/>
        </w:numPr>
      </w:pPr>
      <w:r>
        <w:t xml:space="preserve">Telefonnummer;</w:t>
      </w:r>
    </w:p>
    <w:p>
      <w:pPr>
        <w:pStyle w:val="Compact"/>
        <w:numPr>
          <w:ilvl w:val="0"/>
          <w:numId w:val="1017"/>
        </w:numPr>
      </w:pPr>
      <w:r>
        <w:t xml:space="preserve">bestätigte E-Mail-Adresse;</w:t>
      </w:r>
    </w:p>
    <w:p>
      <w:pPr>
        <w:pStyle w:val="Compact"/>
        <w:numPr>
          <w:ilvl w:val="0"/>
          <w:numId w:val="1017"/>
        </w:numPr>
      </w:pPr>
      <w:r>
        <w:t xml:space="preserve">einmalige Bestätigungscodes;</w:t>
      </w:r>
    </w:p>
    <w:p>
      <w:pPr>
        <w:pStyle w:val="Compact"/>
        <w:numPr>
          <w:ilvl w:val="0"/>
          <w:numId w:val="1017"/>
        </w:numPr>
      </w:pPr>
      <w:r>
        <w:t xml:space="preserve">sichere Sessioninformationen.</w:t>
      </w:r>
    </w:p>
    <w:p>
      <w:pPr>
        <w:pStyle w:val="FirstParagraph"/>
      </w:pPr>
      <w:r>
        <w:t xml:space="preserve">Das Kundenmodell ist nicht mit einem vollwertigen Bank-, Zahlungs- oder Identitätskonto gleichzusetzen.</w:t>
      </w:r>
    </w:p>
    <w:bookmarkEnd w:id="47"/>
    <w:bookmarkStart w:id="48" w:name="pflichtannahmen"/>
    <w:p>
      <w:pPr>
        <w:pStyle w:val="Heading2"/>
      </w:pPr>
      <w:r>
        <w:t xml:space="preserve">8.5 Pflichtannahmen</w:t>
      </w:r>
    </w:p>
    <w:p>
      <w:pPr>
        <w:pStyle w:val="FirstParagraph"/>
      </w:pPr>
      <w:r>
        <w:t xml:space="preserve">Eine Registrierung wird blockiert, wenn erforderliche Teilnahmebedingungen oder Datenschutzinformationen fehlen beziehungsweise notwendige Pflichtbestätigungen nicht erfolgt sind.</w:t>
      </w:r>
    </w:p>
    <w:p>
      <w:pPr>
        <w:pStyle w:val="BodyText"/>
      </w:pPr>
      <w:r>
        <w:t xml:space="preserve">Marketingconsents sind keine Voraussetzung für die Teilnahme.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punkteprogramm"/>
    <w:p>
      <w:pPr>
        <w:pStyle w:val="Heading1"/>
      </w:pPr>
      <w:r>
        <w:t xml:space="preserve">9. Punkteprogramm</w:t>
      </w:r>
    </w:p>
    <w:bookmarkStart w:id="50" w:name="restaurantbezogene-punkte"/>
    <w:p>
      <w:pPr>
        <w:pStyle w:val="Heading2"/>
      </w:pPr>
      <w:r>
        <w:t xml:space="preserve">9.1 Restaurantbezogene Punkte</w:t>
      </w:r>
    </w:p>
    <w:p>
      <w:pPr>
        <w:pStyle w:val="FirstParagraph"/>
      </w:pPr>
      <w:r>
        <w:t xml:space="preserve">Punkte werden ausschließlich innerhalb des jeweiligen Restaurantprogramms geführt.</w:t>
      </w:r>
    </w:p>
    <w:p>
      <w:pPr>
        <w:pStyle w:val="BodyText"/>
      </w:pPr>
      <w:r>
        <w:t xml:space="preserve">Punkte werden nicht automatisch:</w:t>
      </w:r>
    </w:p>
    <w:p>
      <w:pPr>
        <w:pStyle w:val="Compact"/>
        <w:numPr>
          <w:ilvl w:val="0"/>
          <w:numId w:val="1018"/>
        </w:numPr>
      </w:pPr>
      <w:r>
        <w:t xml:space="preserve">zwischen verschiedenen Restaurantunternehmen übertragen;</w:t>
      </w:r>
    </w:p>
    <w:p>
      <w:pPr>
        <w:pStyle w:val="Compact"/>
        <w:numPr>
          <w:ilvl w:val="0"/>
          <w:numId w:val="1018"/>
        </w:numPr>
      </w:pPr>
      <w:r>
        <w:t xml:space="preserve">in Geld ausgezahlt;</w:t>
      </w:r>
    </w:p>
    <w:p>
      <w:pPr>
        <w:pStyle w:val="Compact"/>
        <w:numPr>
          <w:ilvl w:val="0"/>
          <w:numId w:val="1018"/>
        </w:numPr>
      </w:pPr>
      <w:r>
        <w:t xml:space="preserve">zu einem WUXUAI-Guthaben zusammengeführt;</w:t>
      </w:r>
    </w:p>
    <w:p>
      <w:pPr>
        <w:pStyle w:val="Compact"/>
        <w:numPr>
          <w:ilvl w:val="0"/>
          <w:numId w:val="1018"/>
        </w:numPr>
      </w:pPr>
      <w:r>
        <w:t xml:space="preserve">mit anderen Kundenkonten zusammengelegt.</w:t>
      </w:r>
    </w:p>
    <w:bookmarkEnd w:id="50"/>
    <w:bookmarkStart w:id="51" w:name="punkteberechnung"/>
    <w:p>
      <w:pPr>
        <w:pStyle w:val="Heading2"/>
      </w:pPr>
      <w:r>
        <w:t xml:space="preserve">9.2 Punkteberechnung</w:t>
      </w:r>
    </w:p>
    <w:p>
      <w:pPr>
        <w:pStyle w:val="FirstParagraph"/>
      </w:pPr>
      <w:r>
        <w:t xml:space="preserve">Das Restaurant legt nach den technisch verfügbaren Modellen fest:</w:t>
      </w:r>
    </w:p>
    <w:p>
      <w:pPr>
        <w:pStyle w:val="Compact"/>
        <w:numPr>
          <w:ilvl w:val="0"/>
          <w:numId w:val="1019"/>
        </w:numPr>
      </w:pPr>
      <w:r>
        <w:t xml:space="preserve">Punkte je Bonstufe;</w:t>
      </w:r>
    </w:p>
    <w:p>
      <w:pPr>
        <w:pStyle w:val="Compact"/>
        <w:numPr>
          <w:ilvl w:val="0"/>
          <w:numId w:val="1019"/>
        </w:numPr>
      </w:pPr>
      <w:r>
        <w:t xml:space="preserve">Punkte je Besuch;</w:t>
      </w:r>
    </w:p>
    <w:p>
      <w:pPr>
        <w:pStyle w:val="Compact"/>
        <w:numPr>
          <w:ilvl w:val="0"/>
          <w:numId w:val="1019"/>
        </w:numPr>
      </w:pPr>
      <w:r>
        <w:t xml:space="preserve">Multiplikatoren;</w:t>
      </w:r>
    </w:p>
    <w:p>
      <w:pPr>
        <w:pStyle w:val="Compact"/>
        <w:numPr>
          <w:ilvl w:val="0"/>
          <w:numId w:val="1019"/>
        </w:numPr>
      </w:pPr>
      <w:r>
        <w:t xml:space="preserve">Sonderaktionen;</w:t>
      </w:r>
    </w:p>
    <w:p>
      <w:pPr>
        <w:pStyle w:val="Compact"/>
        <w:numPr>
          <w:ilvl w:val="0"/>
          <w:numId w:val="1019"/>
        </w:numPr>
      </w:pPr>
      <w:r>
        <w:t xml:space="preserve">Tagesgrenzen;</w:t>
      </w:r>
    </w:p>
    <w:p>
      <w:pPr>
        <w:pStyle w:val="Compact"/>
        <w:numPr>
          <w:ilvl w:val="0"/>
          <w:numId w:val="1019"/>
        </w:numPr>
      </w:pPr>
      <w:r>
        <w:t xml:space="preserve">Ausschlüsse;</w:t>
      </w:r>
    </w:p>
    <w:p>
      <w:pPr>
        <w:pStyle w:val="Compact"/>
        <w:numPr>
          <w:ilvl w:val="0"/>
          <w:numId w:val="1019"/>
        </w:numPr>
      </w:pPr>
      <w:r>
        <w:t xml:space="preserve">Gültigkeit.</w:t>
      </w:r>
    </w:p>
    <w:bookmarkEnd w:id="51"/>
    <w:bookmarkStart w:id="52" w:name="bonstufen"/>
    <w:p>
      <w:pPr>
        <w:pStyle w:val="Heading2"/>
      </w:pPr>
      <w:r>
        <w:t xml:space="preserve">9.3 Bonstufen</w:t>
      </w:r>
    </w:p>
    <w:p>
      <w:pPr>
        <w:pStyle w:val="FirstParagraph"/>
      </w:pPr>
      <w:r>
        <w:t xml:space="preserve">Die Plattform kann vordefinierte Bonstufen bereitstellen.</w:t>
      </w:r>
    </w:p>
    <w:p>
      <w:pPr>
        <w:pStyle w:val="BodyText"/>
      </w:pPr>
      <w:r>
        <w:t xml:space="preserve">Beispiel:</w:t>
      </w:r>
    </w:p>
    <w:p>
      <w:pPr>
        <w:pStyle w:val="Compact"/>
        <w:numPr>
          <w:ilvl w:val="0"/>
          <w:numId w:val="1020"/>
        </w:numPr>
      </w:pPr>
      <w:r>
        <w:t xml:space="preserve">kleiner Bon;</w:t>
      </w:r>
    </w:p>
    <w:p>
      <w:pPr>
        <w:pStyle w:val="Compact"/>
        <w:numPr>
          <w:ilvl w:val="0"/>
          <w:numId w:val="1020"/>
        </w:numPr>
      </w:pPr>
      <w:r>
        <w:t xml:space="preserve">mittlerer Bon;</w:t>
      </w:r>
    </w:p>
    <w:p>
      <w:pPr>
        <w:pStyle w:val="Compact"/>
        <w:numPr>
          <w:ilvl w:val="0"/>
          <w:numId w:val="1020"/>
        </w:numPr>
      </w:pPr>
      <w:r>
        <w:t xml:space="preserve">großer Bon.</w:t>
      </w:r>
    </w:p>
    <w:p>
      <w:pPr>
        <w:pStyle w:val="FirstParagraph"/>
      </w:pPr>
      <w:r>
        <w:t xml:space="preserve">Die konkreten Eurogrenzen und Punktewerte werden vom Restaurant festgelegt.</w:t>
      </w:r>
    </w:p>
    <w:bookmarkEnd w:id="52"/>
    <w:bookmarkStart w:id="53" w:name="punktebuchung-durch-gäste"/>
    <w:p>
      <w:pPr>
        <w:pStyle w:val="Heading2"/>
      </w:pPr>
      <w:r>
        <w:t xml:space="preserve">9.4 Punktebuchung durch Gäste</w:t>
      </w:r>
    </w:p>
    <w:p>
      <w:pPr>
        <w:pStyle w:val="FirstParagraph"/>
      </w:pPr>
      <w:r>
        <w:t xml:space="preserve">Je nach Konfiguration kann ein Gast nach dem Restaurantbesuch:</w:t>
      </w:r>
    </w:p>
    <w:p>
      <w:pPr>
        <w:pStyle w:val="Compact"/>
        <w:numPr>
          <w:ilvl w:val="0"/>
          <w:numId w:val="1021"/>
        </w:numPr>
      </w:pPr>
      <w:r>
        <w:t xml:space="preserve">das Restaurantprogramm öffnen;</w:t>
      </w:r>
    </w:p>
    <w:p>
      <w:pPr>
        <w:pStyle w:val="Compact"/>
        <w:numPr>
          <w:ilvl w:val="0"/>
          <w:numId w:val="1021"/>
        </w:numPr>
      </w:pPr>
      <w:r>
        <w:t xml:space="preserve">eine Bonstufe auswählen;</w:t>
      </w:r>
    </w:p>
    <w:p>
      <w:pPr>
        <w:pStyle w:val="Compact"/>
        <w:numPr>
          <w:ilvl w:val="0"/>
          <w:numId w:val="1021"/>
        </w:numPr>
      </w:pPr>
      <w:r>
        <w:t xml:space="preserve">eine Tages-PIN eingeben;</w:t>
      </w:r>
    </w:p>
    <w:p>
      <w:pPr>
        <w:pStyle w:val="Compact"/>
        <w:numPr>
          <w:ilvl w:val="0"/>
          <w:numId w:val="1021"/>
        </w:numPr>
      </w:pPr>
      <w:r>
        <w:t xml:space="preserve">die Buchung übermitteln.</w:t>
      </w:r>
    </w:p>
    <w:p>
      <w:pPr>
        <w:pStyle w:val="FirstParagraph"/>
      </w:pPr>
      <w:r>
        <w:t xml:space="preserve">Die Plattform prüft insbesondere:</w:t>
      </w:r>
    </w:p>
    <w:p>
      <w:pPr>
        <w:pStyle w:val="Compact"/>
        <w:numPr>
          <w:ilvl w:val="0"/>
          <w:numId w:val="1022"/>
        </w:numPr>
      </w:pPr>
      <w:r>
        <w:t xml:space="preserve">Restaurantkontext;</w:t>
      </w:r>
    </w:p>
    <w:p>
      <w:pPr>
        <w:pStyle w:val="Compact"/>
        <w:numPr>
          <w:ilvl w:val="0"/>
          <w:numId w:val="1022"/>
        </w:numPr>
      </w:pPr>
      <w:r>
        <w:t xml:space="preserve">Tages-PIN;</w:t>
      </w:r>
    </w:p>
    <w:p>
      <w:pPr>
        <w:pStyle w:val="Compact"/>
        <w:numPr>
          <w:ilvl w:val="0"/>
          <w:numId w:val="1022"/>
        </w:numPr>
      </w:pPr>
      <w:r>
        <w:t xml:space="preserve">Tagesdatum;</w:t>
      </w:r>
    </w:p>
    <w:p>
      <w:pPr>
        <w:pStyle w:val="Compact"/>
        <w:numPr>
          <w:ilvl w:val="0"/>
          <w:numId w:val="1022"/>
        </w:numPr>
      </w:pPr>
      <w:r>
        <w:t xml:space="preserve">Buchungslimit;</w:t>
      </w:r>
    </w:p>
    <w:p>
      <w:pPr>
        <w:pStyle w:val="Compact"/>
        <w:numPr>
          <w:ilvl w:val="0"/>
          <w:numId w:val="1022"/>
        </w:numPr>
      </w:pPr>
      <w:r>
        <w:t xml:space="preserve">mögliche Doppelbuchung;</w:t>
      </w:r>
    </w:p>
    <w:p>
      <w:pPr>
        <w:pStyle w:val="Compact"/>
        <w:numPr>
          <w:ilvl w:val="0"/>
          <w:numId w:val="1022"/>
        </w:numPr>
      </w:pPr>
      <w:r>
        <w:t xml:space="preserve">Kontostatus.</w:t>
      </w:r>
    </w:p>
    <w:bookmarkEnd w:id="53"/>
    <w:bookmarkStart w:id="54" w:name="mitarbeiterbuchung"/>
    <w:p>
      <w:pPr>
        <w:pStyle w:val="Heading2"/>
      </w:pPr>
      <w:r>
        <w:t xml:space="preserve">9.5 Mitarbeiterbuchung</w:t>
      </w:r>
    </w:p>
    <w:p>
      <w:pPr>
        <w:pStyle w:val="FirstParagraph"/>
      </w:pPr>
      <w:r>
        <w:t xml:space="preserve">Berechtigte Mitarbeiter können Punktebuchungen im vorgesehenen Mitarbeiterflow bestätigen oder durchführen.</w:t>
      </w:r>
    </w:p>
    <w:bookmarkEnd w:id="54"/>
    <w:bookmarkStart w:id="55" w:name="buchungsgrenzen"/>
    <w:p>
      <w:pPr>
        <w:pStyle w:val="Heading2"/>
      </w:pPr>
      <w:r>
        <w:t xml:space="preserve">9.6 Buchungsgrenzen</w:t>
      </w:r>
    </w:p>
    <w:p>
      <w:pPr>
        <w:pStyle w:val="FirstParagraph"/>
      </w:pPr>
      <w:r>
        <w:t xml:space="preserve">Technische Limits können gelten, zum Beispiel:</w:t>
      </w:r>
    </w:p>
    <w:p>
      <w:pPr>
        <w:pStyle w:val="Compact"/>
        <w:numPr>
          <w:ilvl w:val="0"/>
          <w:numId w:val="1023"/>
        </w:numPr>
      </w:pPr>
      <w:r>
        <w:t xml:space="preserve">Gast maximal zwei Selbstbuchungen pro Tag;</w:t>
      </w:r>
    </w:p>
    <w:p>
      <w:pPr>
        <w:pStyle w:val="Compact"/>
        <w:numPr>
          <w:ilvl w:val="0"/>
          <w:numId w:val="1023"/>
        </w:numPr>
      </w:pPr>
      <w:r>
        <w:t xml:space="preserve">höhere oder gesonderte Limits für Mitarbeiter;</w:t>
      </w:r>
    </w:p>
    <w:p>
      <w:pPr>
        <w:pStyle w:val="Compact"/>
        <w:numPr>
          <w:ilvl w:val="0"/>
          <w:numId w:val="1023"/>
        </w:numPr>
      </w:pPr>
      <w:r>
        <w:t xml:space="preserve">Rate Limits;</w:t>
      </w:r>
    </w:p>
    <w:p>
      <w:pPr>
        <w:pStyle w:val="Compact"/>
        <w:numPr>
          <w:ilvl w:val="0"/>
          <w:numId w:val="1023"/>
        </w:numPr>
      </w:pPr>
      <w:r>
        <w:t xml:space="preserve">Missbrauchsgrenzen;</w:t>
      </w:r>
    </w:p>
    <w:p>
      <w:pPr>
        <w:pStyle w:val="Compact"/>
        <w:numPr>
          <w:ilvl w:val="0"/>
          <w:numId w:val="1023"/>
        </w:numPr>
      </w:pPr>
      <w:r>
        <w:t xml:space="preserve">Restaurant- oder filialbezogene Kontrollen.</w:t>
      </w:r>
    </w:p>
    <w:p>
      <w:pPr>
        <w:pStyle w:val="FirstParagraph"/>
      </w:pPr>
      <w:r>
        <w:t xml:space="preserve">Die konkreten Grenzen ergeben sich aus Konfiguration und Teilnahmebedingungen.</w:t>
      </w:r>
    </w:p>
    <w:bookmarkEnd w:id="55"/>
    <w:bookmarkStart w:id="56" w:name="korrekturen"/>
    <w:p>
      <w:pPr>
        <w:pStyle w:val="Heading2"/>
      </w:pPr>
      <w:r>
        <w:t xml:space="preserve">9.7 Korrekturen</w:t>
      </w:r>
    </w:p>
    <w:p>
      <w:pPr>
        <w:pStyle w:val="FirstParagraph"/>
      </w:pPr>
      <w:r>
        <w:t xml:space="preserve">Historische Punktebuchungen werden nicht unprotokolliert überschrieben.</w:t>
      </w:r>
    </w:p>
    <w:p>
      <w:pPr>
        <w:pStyle w:val="BodyText"/>
      </w:pPr>
      <w:r>
        <w:t xml:space="preserve">Korrekturen können erfolgen durch:</w:t>
      </w:r>
    </w:p>
    <w:p>
      <w:pPr>
        <w:pStyle w:val="Compact"/>
        <w:numPr>
          <w:ilvl w:val="0"/>
          <w:numId w:val="1024"/>
        </w:numPr>
      </w:pPr>
      <w:r>
        <w:t xml:space="preserve">Gegenbuchung;</w:t>
      </w:r>
    </w:p>
    <w:p>
      <w:pPr>
        <w:pStyle w:val="Compact"/>
        <w:numPr>
          <w:ilvl w:val="0"/>
          <w:numId w:val="1024"/>
        </w:numPr>
      </w:pPr>
      <w:r>
        <w:t xml:space="preserve">Korrekturbuchung;</w:t>
      </w:r>
    </w:p>
    <w:p>
      <w:pPr>
        <w:pStyle w:val="Compact"/>
        <w:numPr>
          <w:ilvl w:val="0"/>
          <w:numId w:val="1024"/>
        </w:numPr>
      </w:pPr>
      <w:r>
        <w:t xml:space="preserve">dokumentierte Adminaktion;</w:t>
      </w:r>
    </w:p>
    <w:p>
      <w:pPr>
        <w:pStyle w:val="Compact"/>
        <w:numPr>
          <w:ilvl w:val="0"/>
          <w:numId w:val="1024"/>
        </w:numPr>
      </w:pPr>
      <w:r>
        <w:t xml:space="preserve">Begründung;</w:t>
      </w:r>
    </w:p>
    <w:p>
      <w:pPr>
        <w:pStyle w:val="Compact"/>
        <w:numPr>
          <w:ilvl w:val="0"/>
          <w:numId w:val="1024"/>
        </w:numPr>
      </w:pPr>
      <w:r>
        <w:t xml:space="preserve">Auditereignis.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tages-pin-system"/>
    <w:p>
      <w:pPr>
        <w:pStyle w:val="Heading1"/>
      </w:pPr>
      <w:r>
        <w:t xml:space="preserve">10. Tages-PIN-System</w:t>
      </w:r>
    </w:p>
    <w:bookmarkStart w:id="58" w:name="zweck"/>
    <w:p>
      <w:pPr>
        <w:pStyle w:val="Heading2"/>
      </w:pPr>
      <w:r>
        <w:t xml:space="preserve">10.1 Zweck</w:t>
      </w:r>
    </w:p>
    <w:p>
      <w:pPr>
        <w:pStyle w:val="FirstParagraph"/>
      </w:pPr>
      <w:r>
        <w:t xml:space="preserve">Die Tages-PIN dient der Bestätigung, dass eine Punktebuchung im Restaurantkontext erfolgt.</w:t>
      </w:r>
    </w:p>
    <w:bookmarkEnd w:id="58"/>
    <w:bookmarkStart w:id="59" w:name="erzeugung"/>
    <w:p>
      <w:pPr>
        <w:pStyle w:val="Heading2"/>
      </w:pPr>
      <w:r>
        <w:t xml:space="preserve">10.2 Erzeugung</w:t>
      </w:r>
    </w:p>
    <w:p>
      <w:pPr>
        <w:pStyle w:val="FirstParagraph"/>
      </w:pPr>
      <w:r>
        <w:t xml:space="preserve">Die Tages-PIN wird systemseitig:</w:t>
      </w:r>
    </w:p>
    <w:p>
      <w:pPr>
        <w:pStyle w:val="Compact"/>
        <w:numPr>
          <w:ilvl w:val="0"/>
          <w:numId w:val="1025"/>
        </w:numPr>
      </w:pPr>
      <w:r>
        <w:t xml:space="preserve">pro Restaurant oder Filiale;</w:t>
      </w:r>
    </w:p>
    <w:p>
      <w:pPr>
        <w:pStyle w:val="Compact"/>
        <w:numPr>
          <w:ilvl w:val="0"/>
          <w:numId w:val="1025"/>
        </w:numPr>
      </w:pPr>
      <w:r>
        <w:t xml:space="preserve">für den jeweiligen Kalendertag;</w:t>
      </w:r>
    </w:p>
    <w:p>
      <w:pPr>
        <w:pStyle w:val="Compact"/>
        <w:numPr>
          <w:ilvl w:val="0"/>
          <w:numId w:val="1025"/>
        </w:numPr>
      </w:pPr>
      <w:r>
        <w:t xml:space="preserve">serverseitig;</w:t>
      </w:r>
    </w:p>
    <w:p>
      <w:pPr>
        <w:pStyle w:val="Compact"/>
        <w:numPr>
          <w:ilvl w:val="0"/>
          <w:numId w:val="1025"/>
        </w:numPr>
      </w:pPr>
      <w:r>
        <w:t xml:space="preserve">automatisch</w:t>
      </w:r>
    </w:p>
    <w:p>
      <w:pPr>
        <w:pStyle w:val="FirstParagraph"/>
      </w:pPr>
      <w:r>
        <w:t xml:space="preserve">erzeugt beziehungsweise verwaltet.</w:t>
      </w:r>
    </w:p>
    <w:bookmarkEnd w:id="59"/>
    <w:bookmarkStart w:id="60" w:name="gültigkeit"/>
    <w:p>
      <w:pPr>
        <w:pStyle w:val="Heading2"/>
      </w:pPr>
      <w:r>
        <w:t xml:space="preserve">10.3 Gültigkeit</w:t>
      </w:r>
    </w:p>
    <w:p>
      <w:pPr>
        <w:pStyle w:val="FirstParagraph"/>
      </w:pPr>
      <w:r>
        <w:t xml:space="preserve">Die Tages-PIN ist grundsätzlich bis zum Ende des jeweiligen Kalendertags in der konfigurierten Restaurantzeitzone gültig.</w:t>
      </w:r>
    </w:p>
    <w:p>
      <w:pPr>
        <w:pStyle w:val="BodyText"/>
      </w:pPr>
      <w:r>
        <w:t xml:space="preserve">Für den österreichischen Betrieb wird grundsätzlich die Zeitzone</w:t>
      </w:r>
      <w:r>
        <w:t xml:space="preserve"> </w:t>
      </w:r>
      <w:r>
        <w:rPr>
          <w:rStyle w:val="VerbatimChar"/>
        </w:rPr>
        <w:t xml:space="preserve">Europe/Vienna</w:t>
      </w:r>
      <w:r>
        <w:t xml:space="preserve"> </w:t>
      </w:r>
      <w:r>
        <w:t xml:space="preserve">verwendet.</w:t>
      </w:r>
    </w:p>
    <w:bookmarkEnd w:id="60"/>
    <w:bookmarkStart w:id="61" w:name="sichtbarkeit"/>
    <w:p>
      <w:pPr>
        <w:pStyle w:val="Heading2"/>
      </w:pPr>
      <w:r>
        <w:t xml:space="preserve">10.4 Sichtbarkeit</w:t>
      </w:r>
    </w:p>
    <w:p>
      <w:pPr>
        <w:pStyle w:val="FirstParagraph"/>
      </w:pPr>
      <w:r>
        <w:t xml:space="preserve">Die Tages-PIN wird ausschließlich im geschützten Mitarbeiter- oder Ownerbereich angezeigt.</w:t>
      </w:r>
    </w:p>
    <w:p>
      <w:pPr>
        <w:pStyle w:val="BodyText"/>
      </w:pPr>
      <w:r>
        <w:t xml:space="preserve">Sie wird nicht öffentlich im Kundenportal angezeigt.</w:t>
      </w:r>
    </w:p>
    <w:bookmarkEnd w:id="61"/>
    <w:bookmarkStart w:id="62" w:name="sicherheit"/>
    <w:p>
      <w:pPr>
        <w:pStyle w:val="Heading2"/>
      </w:pPr>
      <w:r>
        <w:t xml:space="preserve">10.5 Sicherheit</w:t>
      </w:r>
    </w:p>
    <w:p>
      <w:pPr>
        <w:pStyle w:val="FirstParagraph"/>
      </w:pPr>
      <w:r>
        <w:t xml:space="preserve">Die Plattform kann enthalten:</w:t>
      </w:r>
    </w:p>
    <w:p>
      <w:pPr>
        <w:pStyle w:val="Compact"/>
        <w:numPr>
          <w:ilvl w:val="0"/>
          <w:numId w:val="1026"/>
        </w:numPr>
      </w:pPr>
      <w:r>
        <w:t xml:space="preserve">Rate Limits;</w:t>
      </w:r>
    </w:p>
    <w:p>
      <w:pPr>
        <w:pStyle w:val="Compact"/>
        <w:numPr>
          <w:ilvl w:val="0"/>
          <w:numId w:val="1026"/>
        </w:numPr>
      </w:pPr>
      <w:r>
        <w:t xml:space="preserve">Fehlversuchszähler;</w:t>
      </w:r>
    </w:p>
    <w:p>
      <w:pPr>
        <w:pStyle w:val="Compact"/>
        <w:numPr>
          <w:ilvl w:val="0"/>
          <w:numId w:val="1026"/>
        </w:numPr>
      </w:pPr>
      <w:r>
        <w:t xml:space="preserve">temporäre Sperren;</w:t>
      </w:r>
    </w:p>
    <w:p>
      <w:pPr>
        <w:pStyle w:val="Compact"/>
        <w:numPr>
          <w:ilvl w:val="0"/>
          <w:numId w:val="1026"/>
        </w:numPr>
      </w:pPr>
      <w:r>
        <w:t xml:space="preserve">Auditprotokolle;</w:t>
      </w:r>
    </w:p>
    <w:p>
      <w:pPr>
        <w:pStyle w:val="Compact"/>
        <w:numPr>
          <w:ilvl w:val="0"/>
          <w:numId w:val="1026"/>
        </w:numPr>
      </w:pPr>
      <w:r>
        <w:t xml:space="preserve">automatische tägliche Erneuerung.</w:t>
      </w:r>
    </w:p>
    <w:bookmarkEnd w:id="62"/>
    <w:bookmarkStart w:id="63" w:name="kein-absoluter-missbrauchsschutz"/>
    <w:p>
      <w:pPr>
        <w:pStyle w:val="Heading2"/>
      </w:pPr>
      <w:r>
        <w:t xml:space="preserve">10.6 Kein absoluter Missbrauchsschutz</w:t>
      </w:r>
    </w:p>
    <w:p>
      <w:pPr>
        <w:pStyle w:val="FirstParagraph"/>
      </w:pPr>
      <w:r>
        <w:t xml:space="preserve">Die Tages-PIN reduziert Missbrauch, kann aber nicht gewährleisten, dass Mitarbeiter oder Gäste sie niemals unzulässig weitergeben.</w:t>
      </w:r>
    </w:p>
    <w:p>
      <w:pPr>
        <w:pStyle w:val="BodyText"/>
      </w:pPr>
      <w:r>
        <w:t xml:space="preserve">Das Restaurant muss Mitarbeiter entsprechend anweisen.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rewardverwaltung"/>
    <w:p>
      <w:pPr>
        <w:pStyle w:val="Heading1"/>
      </w:pPr>
      <w:r>
        <w:t xml:space="preserve">11. Rewardverwaltung</w:t>
      </w:r>
    </w:p>
    <w:bookmarkStart w:id="65" w:name="erstellung"/>
    <w:p>
      <w:pPr>
        <w:pStyle w:val="Heading2"/>
      </w:pPr>
      <w:r>
        <w:t xml:space="preserve">11.1 Erstellung</w:t>
      </w:r>
    </w:p>
    <w:p>
      <w:pPr>
        <w:pStyle w:val="FirstParagraph"/>
      </w:pPr>
      <w:r>
        <w:t xml:space="preserve">Owner können Rewards erstellen.</w:t>
      </w:r>
    </w:p>
    <w:p>
      <w:pPr>
        <w:pStyle w:val="BodyText"/>
      </w:pPr>
      <w:r>
        <w:t xml:space="preserve">Ein Reward kann insbesondere enthalten:</w:t>
      </w:r>
    </w:p>
    <w:p>
      <w:pPr>
        <w:pStyle w:val="Compact"/>
        <w:numPr>
          <w:ilvl w:val="0"/>
          <w:numId w:val="1027"/>
        </w:numPr>
      </w:pPr>
      <w:r>
        <w:t xml:space="preserve">Name;</w:t>
      </w:r>
    </w:p>
    <w:p>
      <w:pPr>
        <w:pStyle w:val="Compact"/>
        <w:numPr>
          <w:ilvl w:val="0"/>
          <w:numId w:val="1027"/>
        </w:numPr>
      </w:pPr>
      <w:r>
        <w:t xml:space="preserve">Beschreibung;</w:t>
      </w:r>
    </w:p>
    <w:p>
      <w:pPr>
        <w:pStyle w:val="Compact"/>
        <w:numPr>
          <w:ilvl w:val="0"/>
          <w:numId w:val="1027"/>
        </w:numPr>
      </w:pPr>
      <w:r>
        <w:t xml:space="preserve">Kategorie;</w:t>
      </w:r>
    </w:p>
    <w:p>
      <w:pPr>
        <w:pStyle w:val="Compact"/>
        <w:numPr>
          <w:ilvl w:val="0"/>
          <w:numId w:val="1027"/>
        </w:numPr>
      </w:pPr>
      <w:r>
        <w:t xml:space="preserve">benötigte Punkte;</w:t>
      </w:r>
    </w:p>
    <w:p>
      <w:pPr>
        <w:pStyle w:val="Compact"/>
        <w:numPr>
          <w:ilvl w:val="0"/>
          <w:numId w:val="1027"/>
        </w:numPr>
      </w:pPr>
      <w:r>
        <w:t xml:space="preserve">Bild;</w:t>
      </w:r>
    </w:p>
    <w:p>
      <w:pPr>
        <w:pStyle w:val="Compact"/>
        <w:numPr>
          <w:ilvl w:val="0"/>
          <w:numId w:val="1027"/>
        </w:numPr>
      </w:pPr>
      <w:r>
        <w:t xml:space="preserve">Gültigkeit;</w:t>
      </w:r>
    </w:p>
    <w:p>
      <w:pPr>
        <w:pStyle w:val="Compact"/>
        <w:numPr>
          <w:ilvl w:val="0"/>
          <w:numId w:val="1027"/>
        </w:numPr>
      </w:pPr>
      <w:r>
        <w:t xml:space="preserve">Filialzuordnung;</w:t>
      </w:r>
    </w:p>
    <w:p>
      <w:pPr>
        <w:pStyle w:val="Compact"/>
        <w:numPr>
          <w:ilvl w:val="0"/>
          <w:numId w:val="1027"/>
        </w:numPr>
      </w:pPr>
      <w:r>
        <w:t xml:space="preserve">Einschränkungen;</w:t>
      </w:r>
    </w:p>
    <w:p>
      <w:pPr>
        <w:pStyle w:val="Compact"/>
        <w:numPr>
          <w:ilvl w:val="0"/>
          <w:numId w:val="1027"/>
        </w:numPr>
      </w:pPr>
      <w:r>
        <w:t xml:space="preserve">Verfügbarkeit;</w:t>
      </w:r>
    </w:p>
    <w:p>
      <w:pPr>
        <w:pStyle w:val="Compact"/>
        <w:numPr>
          <w:ilvl w:val="0"/>
          <w:numId w:val="1027"/>
        </w:numPr>
      </w:pPr>
      <w:r>
        <w:t xml:space="preserve">Status.</w:t>
      </w:r>
    </w:p>
    <w:bookmarkEnd w:id="65"/>
    <w:bookmarkStart w:id="66" w:name="kategorien"/>
    <w:p>
      <w:pPr>
        <w:pStyle w:val="Heading2"/>
      </w:pPr>
      <w:r>
        <w:t xml:space="preserve">11.2 Kategorien</w:t>
      </w:r>
    </w:p>
    <w:p>
      <w:pPr>
        <w:pStyle w:val="FirstParagraph"/>
      </w:pPr>
      <w:r>
        <w:t xml:space="preserve">Mögliche Kategorien:</w:t>
      </w:r>
    </w:p>
    <w:p>
      <w:pPr>
        <w:pStyle w:val="Compact"/>
        <w:numPr>
          <w:ilvl w:val="0"/>
          <w:numId w:val="1028"/>
        </w:numPr>
      </w:pPr>
      <w:r>
        <w:t xml:space="preserve">Getränk;</w:t>
      </w:r>
    </w:p>
    <w:p>
      <w:pPr>
        <w:pStyle w:val="Compact"/>
        <w:numPr>
          <w:ilvl w:val="0"/>
          <w:numId w:val="1028"/>
        </w:numPr>
      </w:pPr>
      <w:r>
        <w:t xml:space="preserve">Dessert;</w:t>
      </w:r>
    </w:p>
    <w:p>
      <w:pPr>
        <w:pStyle w:val="Compact"/>
        <w:numPr>
          <w:ilvl w:val="0"/>
          <w:numId w:val="1028"/>
        </w:numPr>
      </w:pPr>
      <w:r>
        <w:t xml:space="preserve">Vorspeise;</w:t>
      </w:r>
    </w:p>
    <w:p>
      <w:pPr>
        <w:pStyle w:val="Compact"/>
        <w:numPr>
          <w:ilvl w:val="0"/>
          <w:numId w:val="1028"/>
        </w:numPr>
      </w:pPr>
      <w:r>
        <w:t xml:space="preserve">Hauptspeise;</w:t>
      </w:r>
    </w:p>
    <w:p>
      <w:pPr>
        <w:pStyle w:val="Compact"/>
        <w:numPr>
          <w:ilvl w:val="0"/>
          <w:numId w:val="1028"/>
        </w:numPr>
      </w:pPr>
      <w:r>
        <w:t xml:space="preserve">Menü;</w:t>
      </w:r>
    </w:p>
    <w:p>
      <w:pPr>
        <w:pStyle w:val="Compact"/>
        <w:numPr>
          <w:ilvl w:val="0"/>
          <w:numId w:val="1028"/>
        </w:numPr>
      </w:pPr>
      <w:r>
        <w:t xml:space="preserve">eigene Kategorie.</w:t>
      </w:r>
    </w:p>
    <w:bookmarkEnd w:id="66"/>
    <w:bookmarkStart w:id="67" w:name="aktivierung"/>
    <w:p>
      <w:pPr>
        <w:pStyle w:val="Heading2"/>
      </w:pPr>
      <w:r>
        <w:t xml:space="preserve">11.3 Aktivierung</w:t>
      </w:r>
    </w:p>
    <w:p>
      <w:pPr>
        <w:pStyle w:val="FirstParagraph"/>
      </w:pPr>
      <w:r>
        <w:t xml:space="preserve">Rewards können:</w:t>
      </w:r>
    </w:p>
    <w:p>
      <w:pPr>
        <w:pStyle w:val="Compact"/>
        <w:numPr>
          <w:ilvl w:val="0"/>
          <w:numId w:val="1029"/>
        </w:numPr>
      </w:pPr>
      <w:r>
        <w:t xml:space="preserve">als Entwurf gespeichert;</w:t>
      </w:r>
    </w:p>
    <w:p>
      <w:pPr>
        <w:pStyle w:val="Compact"/>
        <w:numPr>
          <w:ilvl w:val="0"/>
          <w:numId w:val="1029"/>
        </w:numPr>
      </w:pPr>
      <w:r>
        <w:t xml:space="preserve">aktiviert;</w:t>
      </w:r>
    </w:p>
    <w:p>
      <w:pPr>
        <w:pStyle w:val="Compact"/>
        <w:numPr>
          <w:ilvl w:val="0"/>
          <w:numId w:val="1029"/>
        </w:numPr>
      </w:pPr>
      <w:r>
        <w:t xml:space="preserve">deaktiviert;</w:t>
      </w:r>
    </w:p>
    <w:p>
      <w:pPr>
        <w:pStyle w:val="Compact"/>
        <w:numPr>
          <w:ilvl w:val="0"/>
          <w:numId w:val="1029"/>
        </w:numPr>
      </w:pPr>
      <w:r>
        <w:t xml:space="preserve">zeitlich begrenzt;</w:t>
      </w:r>
    </w:p>
    <w:p>
      <w:pPr>
        <w:pStyle w:val="Compact"/>
        <w:numPr>
          <w:ilvl w:val="0"/>
          <w:numId w:val="1029"/>
        </w:numPr>
      </w:pPr>
      <w:r>
        <w:t xml:space="preserve">filialbezogen angeboten</w:t>
      </w:r>
    </w:p>
    <w:p>
      <w:pPr>
        <w:pStyle w:val="FirstParagraph"/>
      </w:pPr>
      <w:r>
        <w:t xml:space="preserve">werden.</w:t>
      </w:r>
    </w:p>
    <w:bookmarkEnd w:id="67"/>
    <w:bookmarkStart w:id="68" w:name="verfügbarkeit"/>
    <w:p>
      <w:pPr>
        <w:pStyle w:val="Heading2"/>
      </w:pPr>
      <w:r>
        <w:t xml:space="preserve">11.4 Verfügbarkeit</w:t>
      </w:r>
    </w:p>
    <w:p>
      <w:pPr>
        <w:pStyle w:val="FirstParagraph"/>
      </w:pPr>
      <w:r>
        <w:t xml:space="preserve">Die technische Anzeige eines Rewards garantiert nicht, dass ein bestimmtes Produkt zu jedem Zeitpunkt tatsächlich vorrätig ist.</w:t>
      </w:r>
    </w:p>
    <w:p>
      <w:pPr>
        <w:pStyle w:val="BodyText"/>
      </w:pPr>
      <w:r>
        <w:t xml:space="preserve">Das Restaurant muss:</w:t>
      </w:r>
    </w:p>
    <w:p>
      <w:pPr>
        <w:pStyle w:val="Compact"/>
        <w:numPr>
          <w:ilvl w:val="0"/>
          <w:numId w:val="1030"/>
        </w:numPr>
      </w:pPr>
      <w:r>
        <w:t xml:space="preserve">Verfügbarkeiten korrekt pflegen;</w:t>
      </w:r>
    </w:p>
    <w:p>
      <w:pPr>
        <w:pStyle w:val="Compact"/>
        <w:numPr>
          <w:ilvl w:val="0"/>
          <w:numId w:val="1030"/>
        </w:numPr>
      </w:pPr>
      <w:r>
        <w:t xml:space="preserve">notwendige Ausschlüsse angeben;</w:t>
      </w:r>
    </w:p>
    <w:p>
      <w:pPr>
        <w:pStyle w:val="Compact"/>
        <w:numPr>
          <w:ilvl w:val="0"/>
          <w:numId w:val="1030"/>
        </w:numPr>
      </w:pPr>
      <w:r>
        <w:t xml:space="preserve">bei Nichtverfügbarkeit angemessen reagieren.</w:t>
      </w:r>
    </w:p>
    <w:bookmarkEnd w:id="68"/>
    <w:bookmarkStart w:id="69" w:name="rewardbedingungen"/>
    <w:p>
      <w:pPr>
        <w:pStyle w:val="Heading2"/>
      </w:pPr>
      <w:r>
        <w:t xml:space="preserve">11.5 Rewardbedingungen</w:t>
      </w:r>
    </w:p>
    <w:p>
      <w:pPr>
        <w:pStyle w:val="FirstParagraph"/>
      </w:pPr>
      <w:r>
        <w:t xml:space="preserve">Vor Aktivierung oder Einlösung können angezeigt werden:</w:t>
      </w:r>
    </w:p>
    <w:p>
      <w:pPr>
        <w:pStyle w:val="Compact"/>
        <w:numPr>
          <w:ilvl w:val="0"/>
          <w:numId w:val="1031"/>
        </w:numPr>
      </w:pPr>
      <w:r>
        <w:t xml:space="preserve">benötigte Punkte;</w:t>
      </w:r>
    </w:p>
    <w:p>
      <w:pPr>
        <w:pStyle w:val="Compact"/>
        <w:numPr>
          <w:ilvl w:val="0"/>
          <w:numId w:val="1031"/>
        </w:numPr>
      </w:pPr>
      <w:r>
        <w:t xml:space="preserve">Gültigkeit;</w:t>
      </w:r>
    </w:p>
    <w:p>
      <w:pPr>
        <w:pStyle w:val="Compact"/>
        <w:numPr>
          <w:ilvl w:val="0"/>
          <w:numId w:val="1031"/>
        </w:numPr>
      </w:pPr>
      <w:r>
        <w:t xml:space="preserve">Einlösefilialen;</w:t>
      </w:r>
    </w:p>
    <w:p>
      <w:pPr>
        <w:pStyle w:val="Compact"/>
        <w:numPr>
          <w:ilvl w:val="0"/>
          <w:numId w:val="1031"/>
        </w:numPr>
      </w:pPr>
      <w:r>
        <w:t xml:space="preserve">Kombinierbarkeit;</w:t>
      </w:r>
    </w:p>
    <w:p>
      <w:pPr>
        <w:pStyle w:val="Compact"/>
        <w:numPr>
          <w:ilvl w:val="0"/>
          <w:numId w:val="1031"/>
        </w:numPr>
      </w:pPr>
      <w:r>
        <w:t xml:space="preserve">Ausschlüsse;</w:t>
      </w:r>
    </w:p>
    <w:p>
      <w:pPr>
        <w:pStyle w:val="Compact"/>
        <w:numPr>
          <w:ilvl w:val="0"/>
          <w:numId w:val="1031"/>
        </w:numPr>
      </w:pPr>
      <w:r>
        <w:t xml:space="preserve">kein Geldersatz;</w:t>
      </w:r>
    </w:p>
    <w:p>
      <w:pPr>
        <w:pStyle w:val="Compact"/>
        <w:numPr>
          <w:ilvl w:val="0"/>
          <w:numId w:val="1031"/>
        </w:numPr>
      </w:pPr>
      <w:r>
        <w:t xml:space="preserve">Einmaligkeit.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reward-aktivierung-und-einlösung"/>
    <w:p>
      <w:pPr>
        <w:pStyle w:val="Heading1"/>
      </w:pPr>
      <w:r>
        <w:t xml:space="preserve">12. Reward-Aktivierung und Einlösung</w:t>
      </w:r>
    </w:p>
    <w:bookmarkStart w:id="71" w:name="aktivierung-1"/>
    <w:p>
      <w:pPr>
        <w:pStyle w:val="Heading2"/>
      </w:pPr>
      <w:r>
        <w:t xml:space="preserve">12.1 Aktivierung</w:t>
      </w:r>
    </w:p>
    <w:p>
      <w:pPr>
        <w:pStyle w:val="FirstParagraph"/>
      </w:pPr>
      <w:r>
        <w:t xml:space="preserve">Der Gast kann bei ausreichendem Punktestand einen Reward aktivieren.</w:t>
      </w:r>
    </w:p>
    <w:p>
      <w:pPr>
        <w:pStyle w:val="BodyText"/>
      </w:pPr>
      <w:r>
        <w:t xml:space="preserve">Je nach Produktlogik kann die Punkteabbuchung erfolgen:</w:t>
      </w:r>
    </w:p>
    <w:p>
      <w:pPr>
        <w:pStyle w:val="Compact"/>
        <w:numPr>
          <w:ilvl w:val="0"/>
          <w:numId w:val="1032"/>
        </w:numPr>
      </w:pPr>
      <w:r>
        <w:t xml:space="preserve">bei Aktivierung;</w:t>
      </w:r>
    </w:p>
    <w:p>
      <w:pPr>
        <w:pStyle w:val="Compact"/>
        <w:numPr>
          <w:ilvl w:val="0"/>
          <w:numId w:val="1032"/>
        </w:numPr>
      </w:pPr>
      <w:r>
        <w:t xml:space="preserve">bei erfolgreicher Einlösung.</w:t>
      </w:r>
    </w:p>
    <w:p>
      <w:pPr>
        <w:pStyle w:val="FirstParagraph"/>
      </w:pPr>
      <w:r>
        <w:t xml:space="preserve">Die konkrete Regel muss in der Leistungs- und Programmlogik einheitlich festgelegt werden.</w:t>
      </w:r>
    </w:p>
    <w:bookmarkEnd w:id="71"/>
    <w:bookmarkStart w:id="72" w:name="einmaliger-einlösecode"/>
    <w:p>
      <w:pPr>
        <w:pStyle w:val="Heading2"/>
      </w:pPr>
      <w:r>
        <w:t xml:space="preserve">12.2 Einmaliger Einlösecode</w:t>
      </w:r>
    </w:p>
    <w:p>
      <w:pPr>
        <w:pStyle w:val="FirstParagraph"/>
      </w:pPr>
      <w:r>
        <w:t xml:space="preserve">Die Plattform kann nach Aktivierung einen einmaligen Einlösecode erzeugen.</w:t>
      </w:r>
    </w:p>
    <w:p>
      <w:pPr>
        <w:pStyle w:val="BodyText"/>
      </w:pPr>
      <w:r>
        <w:t xml:space="preserve">Der Code kann:</w:t>
      </w:r>
    </w:p>
    <w:p>
      <w:pPr>
        <w:pStyle w:val="Compact"/>
        <w:numPr>
          <w:ilvl w:val="0"/>
          <w:numId w:val="1033"/>
        </w:numPr>
      </w:pPr>
      <w:r>
        <w:t xml:space="preserve">sechsstellig;</w:t>
      </w:r>
    </w:p>
    <w:p>
      <w:pPr>
        <w:pStyle w:val="Compact"/>
        <w:numPr>
          <w:ilvl w:val="0"/>
          <w:numId w:val="1033"/>
        </w:numPr>
      </w:pPr>
      <w:r>
        <w:t xml:space="preserve">zeitlich begrenzt;</w:t>
      </w:r>
    </w:p>
    <w:p>
      <w:pPr>
        <w:pStyle w:val="Compact"/>
        <w:numPr>
          <w:ilvl w:val="0"/>
          <w:numId w:val="1033"/>
        </w:numPr>
      </w:pPr>
      <w:r>
        <w:t xml:space="preserve">restaurantbezogen;</w:t>
      </w:r>
    </w:p>
    <w:p>
      <w:pPr>
        <w:pStyle w:val="Compact"/>
        <w:numPr>
          <w:ilvl w:val="0"/>
          <w:numId w:val="1033"/>
        </w:numPr>
      </w:pPr>
      <w:r>
        <w:t xml:space="preserve">technisch deaktivierbar</w:t>
      </w:r>
    </w:p>
    <w:p>
      <w:pPr>
        <w:pStyle w:val="FirstParagraph"/>
      </w:pPr>
      <w:r>
        <w:t xml:space="preserve">sein.</w:t>
      </w:r>
    </w:p>
    <w:bookmarkEnd w:id="72"/>
    <w:bookmarkStart w:id="73" w:name="einlösung"/>
    <w:p>
      <w:pPr>
        <w:pStyle w:val="Heading2"/>
      </w:pPr>
      <w:r>
        <w:t xml:space="preserve">12.3 Einlösung</w:t>
      </w:r>
    </w:p>
    <w:p>
      <w:pPr>
        <w:pStyle w:val="FirstParagraph"/>
      </w:pPr>
      <w:r>
        <w:t xml:space="preserve">Der Mitarbeiter:</w:t>
      </w:r>
    </w:p>
    <w:p>
      <w:pPr>
        <w:pStyle w:val="Compact"/>
        <w:numPr>
          <w:ilvl w:val="0"/>
          <w:numId w:val="1034"/>
        </w:numPr>
      </w:pPr>
      <w:r>
        <w:t xml:space="preserve">prüft den Code;</w:t>
      </w:r>
    </w:p>
    <w:p>
      <w:pPr>
        <w:pStyle w:val="Compact"/>
        <w:numPr>
          <w:ilvl w:val="0"/>
          <w:numId w:val="1034"/>
        </w:numPr>
      </w:pPr>
      <w:r>
        <w:t xml:space="preserve">bestätigt den konkreten Reward;</w:t>
      </w:r>
    </w:p>
    <w:p>
      <w:pPr>
        <w:pStyle w:val="Compact"/>
        <w:numPr>
          <w:ilvl w:val="0"/>
          <w:numId w:val="1034"/>
        </w:numPr>
      </w:pPr>
      <w:r>
        <w:t xml:space="preserve">schließt die Einlösung ab.</w:t>
      </w:r>
    </w:p>
    <w:p>
      <w:pPr>
        <w:pStyle w:val="FirstParagraph"/>
      </w:pPr>
      <w:r>
        <w:t xml:space="preserve">Nach erfolgreicher Einlösung wird der Code deaktiviert.</w:t>
      </w:r>
    </w:p>
    <w:bookmarkEnd w:id="73"/>
    <w:bookmarkStart w:id="74" w:name="wiederverwendung"/>
    <w:p>
      <w:pPr>
        <w:pStyle w:val="Heading2"/>
      </w:pPr>
      <w:r>
        <w:t xml:space="preserve">12.4 Wiederverwendung</w:t>
      </w:r>
    </w:p>
    <w:p>
      <w:pPr>
        <w:pStyle w:val="FirstParagraph"/>
      </w:pPr>
      <w:r>
        <w:t xml:space="preserve">Eine erneute Nutzung desselben Codes wird technisch blockiert.</w:t>
      </w:r>
    </w:p>
    <w:bookmarkEnd w:id="74"/>
    <w:bookmarkStart w:id="75" w:name="screenshots"/>
    <w:p>
      <w:pPr>
        <w:pStyle w:val="Heading2"/>
      </w:pPr>
      <w:r>
        <w:t xml:space="preserve">12.5 Screenshots</w:t>
      </w:r>
    </w:p>
    <w:p>
      <w:pPr>
        <w:pStyle w:val="FirstParagraph"/>
      </w:pPr>
      <w:r>
        <w:t xml:space="preserve">Ein Screenshot eines Codes begründet keine erneute technische Einlösbarkeit.</w:t>
      </w:r>
    </w:p>
    <w:bookmarkEnd w:id="75"/>
    <w:bookmarkStart w:id="76" w:name="audit"/>
    <w:p>
      <w:pPr>
        <w:pStyle w:val="Heading2"/>
      </w:pPr>
      <w:r>
        <w:t xml:space="preserve">12.6 Audit</w:t>
      </w:r>
    </w:p>
    <w:p>
      <w:pPr>
        <w:pStyle w:val="FirstParagraph"/>
      </w:pPr>
      <w:r>
        <w:t xml:space="preserve">Die Einlösung kann protokollieren:</w:t>
      </w:r>
    </w:p>
    <w:p>
      <w:pPr>
        <w:pStyle w:val="Compact"/>
        <w:numPr>
          <w:ilvl w:val="0"/>
          <w:numId w:val="1035"/>
        </w:numPr>
      </w:pPr>
      <w:r>
        <w:t xml:space="preserve">Restaurant;</w:t>
      </w:r>
    </w:p>
    <w:p>
      <w:pPr>
        <w:pStyle w:val="Compact"/>
        <w:numPr>
          <w:ilvl w:val="0"/>
          <w:numId w:val="1035"/>
        </w:numPr>
      </w:pPr>
      <w:r>
        <w:t xml:space="preserve">Filiale;</w:t>
      </w:r>
    </w:p>
    <w:p>
      <w:pPr>
        <w:pStyle w:val="Compact"/>
        <w:numPr>
          <w:ilvl w:val="0"/>
          <w:numId w:val="1035"/>
        </w:numPr>
      </w:pPr>
      <w:r>
        <w:t xml:space="preserve">Kunde;</w:t>
      </w:r>
    </w:p>
    <w:p>
      <w:pPr>
        <w:pStyle w:val="Compact"/>
        <w:numPr>
          <w:ilvl w:val="0"/>
          <w:numId w:val="1035"/>
        </w:numPr>
      </w:pPr>
      <w:r>
        <w:t xml:space="preserve">Reward;</w:t>
      </w:r>
    </w:p>
    <w:p>
      <w:pPr>
        <w:pStyle w:val="Compact"/>
        <w:numPr>
          <w:ilvl w:val="0"/>
          <w:numId w:val="1035"/>
        </w:numPr>
      </w:pPr>
      <w:r>
        <w:t xml:space="preserve">Zeitpunkt;</w:t>
      </w:r>
    </w:p>
    <w:p>
      <w:pPr>
        <w:pStyle w:val="Compact"/>
        <w:numPr>
          <w:ilvl w:val="0"/>
          <w:numId w:val="1035"/>
        </w:numPr>
      </w:pPr>
      <w:r>
        <w:t xml:space="preserve">Mitarbeiterrolle;</w:t>
      </w:r>
    </w:p>
    <w:p>
      <w:pPr>
        <w:pStyle w:val="Compact"/>
        <w:numPr>
          <w:ilvl w:val="0"/>
          <w:numId w:val="1035"/>
        </w:numPr>
      </w:pPr>
      <w:r>
        <w:t xml:space="preserve">Status;</w:t>
      </w:r>
    </w:p>
    <w:p>
      <w:pPr>
        <w:pStyle w:val="Compact"/>
        <w:numPr>
          <w:ilvl w:val="0"/>
          <w:numId w:val="1035"/>
        </w:numPr>
      </w:pPr>
      <w:r>
        <w:t xml:space="preserve">Code-Referenz;</w:t>
      </w:r>
    </w:p>
    <w:p>
      <w:pPr>
        <w:pStyle w:val="Compact"/>
        <w:numPr>
          <w:ilvl w:val="0"/>
          <w:numId w:val="1035"/>
        </w:numPr>
      </w:pPr>
      <w:r>
        <w:t xml:space="preserve">Punktewirkung.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willkommensreward"/>
    <w:p>
      <w:pPr>
        <w:pStyle w:val="Heading1"/>
      </w:pPr>
      <w:r>
        <w:t xml:space="preserve">13. Willkommensreward</w:t>
      </w:r>
    </w:p>
    <w:bookmarkStart w:id="78" w:name="funktion"/>
    <w:p>
      <w:pPr>
        <w:pStyle w:val="Heading2"/>
      </w:pPr>
      <w:r>
        <w:t xml:space="preserve">13.1 Funktion</w:t>
      </w:r>
    </w:p>
    <w:p>
      <w:pPr>
        <w:pStyle w:val="FirstParagraph"/>
      </w:pPr>
      <w:r>
        <w:t xml:space="preserve">Das Restaurant kann einen Willkommensreward für neue Teilnehmer konfigurieren.</w:t>
      </w:r>
    </w:p>
    <w:bookmarkEnd w:id="78"/>
    <w:bookmarkStart w:id="79" w:name="einmaligkeit"/>
    <w:p>
      <w:pPr>
        <w:pStyle w:val="Heading2"/>
      </w:pPr>
      <w:r>
        <w:t xml:space="preserve">13.2 Einmaligkeit</w:t>
      </w:r>
    </w:p>
    <w:p>
      <w:pPr>
        <w:pStyle w:val="FirstParagraph"/>
      </w:pPr>
      <w:r>
        <w:t xml:space="preserve">Der Willkommensreward soll grundsätzlich pro Kunde und Restaurant nur einmal gewährt werden.</w:t>
      </w:r>
    </w:p>
    <w:bookmarkEnd w:id="79"/>
    <w:bookmarkStart w:id="80" w:name="missbrauchsschutz"/>
    <w:p>
      <w:pPr>
        <w:pStyle w:val="Heading2"/>
      </w:pPr>
      <w:r>
        <w:t xml:space="preserve">13.3 Missbrauchsschutz</w:t>
      </w:r>
    </w:p>
    <w:p>
      <w:pPr>
        <w:pStyle w:val="FirstParagraph"/>
      </w:pPr>
      <w:r>
        <w:t xml:space="preserve">Die Plattform kann insbesondere prüfen:</w:t>
      </w:r>
    </w:p>
    <w:p>
      <w:pPr>
        <w:pStyle w:val="Compact"/>
        <w:numPr>
          <w:ilvl w:val="0"/>
          <w:numId w:val="1036"/>
        </w:numPr>
      </w:pPr>
      <w:r>
        <w:t xml:space="preserve">bestehendes Kundenkonto;</w:t>
      </w:r>
    </w:p>
    <w:p>
      <w:pPr>
        <w:pStyle w:val="Compact"/>
        <w:numPr>
          <w:ilvl w:val="0"/>
          <w:numId w:val="1036"/>
        </w:numPr>
      </w:pPr>
      <w:r>
        <w:t xml:space="preserve">Restaurantzuordnung;</w:t>
      </w:r>
    </w:p>
    <w:p>
      <w:pPr>
        <w:pStyle w:val="Compact"/>
        <w:numPr>
          <w:ilvl w:val="0"/>
          <w:numId w:val="1036"/>
        </w:numPr>
      </w:pPr>
      <w:r>
        <w:t xml:space="preserve">bestehender Willkommensreward;</w:t>
      </w:r>
    </w:p>
    <w:p>
      <w:pPr>
        <w:pStyle w:val="Compact"/>
        <w:numPr>
          <w:ilvl w:val="0"/>
          <w:numId w:val="1036"/>
        </w:numPr>
      </w:pPr>
      <w:r>
        <w:t xml:space="preserve">Telefonnummer oder Token;</w:t>
      </w:r>
    </w:p>
    <w:p>
      <w:pPr>
        <w:pStyle w:val="Compact"/>
        <w:numPr>
          <w:ilvl w:val="0"/>
          <w:numId w:val="1036"/>
        </w:numPr>
      </w:pPr>
      <w:r>
        <w:t xml:space="preserve">bereits erfolgte Einlösung.</w:t>
      </w:r>
    </w:p>
    <w:bookmarkEnd w:id="80"/>
    <w:bookmarkStart w:id="81" w:name="verantwortung"/>
    <w:p>
      <w:pPr>
        <w:pStyle w:val="Heading2"/>
      </w:pPr>
      <w:r>
        <w:t xml:space="preserve">13.4 Verantwortung</w:t>
      </w:r>
    </w:p>
    <w:p>
      <w:pPr>
        <w:pStyle w:val="FirstParagraph"/>
      </w:pPr>
      <w:r>
        <w:t xml:space="preserve">Das Restaurant legt Inhalt, Gültigkeit und tatsächliche Gewährung fest.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referral-und-bonus-boost"/>
    <w:p>
      <w:pPr>
        <w:pStyle w:val="Heading1"/>
      </w:pPr>
      <w:r>
        <w:t xml:space="preserve">14. Referral und Bonus Boost</w:t>
      </w:r>
    </w:p>
    <w:bookmarkStart w:id="83" w:name="referral-grundfunktion"/>
    <w:p>
      <w:pPr>
        <w:pStyle w:val="Heading2"/>
      </w:pPr>
      <w:r>
        <w:t xml:space="preserve">14.1 Referral-Grundfunktion</w:t>
      </w:r>
    </w:p>
    <w:p>
      <w:pPr>
        <w:pStyle w:val="FirstParagraph"/>
      </w:pPr>
      <w:r>
        <w:t xml:space="preserve">Die Plattform kann einen Empfehlungsprozess bereitstellen, über den ein bestehender Gast eine weitere Person auf das Restaurantprogramm hinweist.</w:t>
      </w:r>
    </w:p>
    <w:bookmarkEnd w:id="83"/>
    <w:bookmarkStart w:id="84" w:name="bonus-boost"/>
    <w:p>
      <w:pPr>
        <w:pStyle w:val="Heading2"/>
      </w:pPr>
      <w:r>
        <w:t xml:space="preserve">14.2 Bonus Boost</w:t>
      </w:r>
    </w:p>
    <w:p>
      <w:pPr>
        <w:pStyle w:val="FirstParagraph"/>
      </w:pPr>
      <w:r>
        <w:t xml:space="preserve">Je nach Konfiguration kann nach einer erfolgreichen Empfehlung ein zeitlich begrenzter Punktemultiplikator aktiviert werden.</w:t>
      </w:r>
    </w:p>
    <w:p>
      <w:pPr>
        <w:pStyle w:val="BodyText"/>
      </w:pPr>
      <w:r>
        <w:t xml:space="preserve">Beispiel:</w:t>
      </w:r>
    </w:p>
    <w:p>
      <w:pPr>
        <w:pStyle w:val="Compact"/>
        <w:numPr>
          <w:ilvl w:val="0"/>
          <w:numId w:val="1037"/>
        </w:numPr>
      </w:pPr>
      <w:r>
        <w:t xml:space="preserve">doppelte Punkte für 30 Tage;</w:t>
      </w:r>
    </w:p>
    <w:p>
      <w:pPr>
        <w:pStyle w:val="Compact"/>
        <w:numPr>
          <w:ilvl w:val="0"/>
          <w:numId w:val="1037"/>
        </w:numPr>
      </w:pPr>
      <w:r>
        <w:t xml:space="preserve">jede weitere erfolgreiche Empfehlung verlängert den Zeitraum.</w:t>
      </w:r>
    </w:p>
    <w:bookmarkEnd w:id="84"/>
    <w:bookmarkStart w:id="85" w:name="kein-garantierter-bestandteil"/>
    <w:p>
      <w:pPr>
        <w:pStyle w:val="Heading2"/>
      </w:pPr>
      <w:r>
        <w:t xml:space="preserve">14.3 Kein garantierter Bestandteil</w:t>
      </w:r>
    </w:p>
    <w:p>
      <w:pPr>
        <w:pStyle w:val="FirstParagraph"/>
      </w:pPr>
      <w:r>
        <w:t xml:space="preserve">Referral und Bonus Boost sind nur Vertragsleistung, wenn sie im gebuchten Tarif ausdrücklich enthalten und technisch aktiviert sind.</w:t>
      </w:r>
    </w:p>
    <w:bookmarkEnd w:id="85"/>
    <w:bookmarkStart w:id="86" w:name="missbrauchsschutz-1"/>
    <w:p>
      <w:pPr>
        <w:pStyle w:val="Heading2"/>
      </w:pPr>
      <w:r>
        <w:t xml:space="preserve">14.4 Missbrauchsschutz</w:t>
      </w:r>
    </w:p>
    <w:p>
      <w:pPr>
        <w:pStyle w:val="FirstParagraph"/>
      </w:pPr>
      <w:r>
        <w:t xml:space="preserve">Die Plattform kann Mehrfachregistrierungen, Selbstempfehlungen und ungewöhnliche Muster blockieren.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geburtstag-und-retention"/>
    <w:p>
      <w:pPr>
        <w:pStyle w:val="Heading1"/>
      </w:pPr>
      <w:r>
        <w:t xml:space="preserve">15. Geburtstag und Retention</w:t>
      </w:r>
    </w:p>
    <w:bookmarkStart w:id="88" w:name="geburtstagsfunktion"/>
    <w:p>
      <w:pPr>
        <w:pStyle w:val="Heading2"/>
      </w:pPr>
      <w:r>
        <w:t xml:space="preserve">15.1 Geburtstagsfunktion</w:t>
      </w:r>
    </w:p>
    <w:p>
      <w:pPr>
        <w:pStyle w:val="FirstParagraph"/>
      </w:pPr>
      <w:r>
        <w:t xml:space="preserve">Die Plattform kann Geburtstagseinstellungen und Geburtstagsrewards unterstützen.</w:t>
      </w:r>
    </w:p>
    <w:bookmarkEnd w:id="88"/>
    <w:bookmarkStart w:id="89" w:name="automatisierung"/>
    <w:p>
      <w:pPr>
        <w:pStyle w:val="Heading2"/>
      </w:pPr>
      <w:r>
        <w:t xml:space="preserve">15.2 Automatisierung</w:t>
      </w:r>
    </w:p>
    <w:p>
      <w:pPr>
        <w:pStyle w:val="FirstParagraph"/>
      </w:pPr>
      <w:r>
        <w:t xml:space="preserve">Eine vollständig automatische Auslösung erfordert:</w:t>
      </w:r>
    </w:p>
    <w:p>
      <w:pPr>
        <w:pStyle w:val="Compact"/>
        <w:numPr>
          <w:ilvl w:val="0"/>
          <w:numId w:val="1038"/>
        </w:numPr>
      </w:pPr>
      <w:r>
        <w:t xml:space="preserve">aktivierten Scheduler;</w:t>
      </w:r>
    </w:p>
    <w:p>
      <w:pPr>
        <w:pStyle w:val="Compact"/>
        <w:numPr>
          <w:ilvl w:val="0"/>
          <w:numId w:val="1038"/>
        </w:numPr>
      </w:pPr>
      <w:r>
        <w:t xml:space="preserve">korrekte Daten;</w:t>
      </w:r>
    </w:p>
    <w:p>
      <w:pPr>
        <w:pStyle w:val="Compact"/>
        <w:numPr>
          <w:ilvl w:val="0"/>
          <w:numId w:val="1038"/>
        </w:numPr>
      </w:pPr>
      <w:r>
        <w:t xml:space="preserve">zulässige Rechtsgrundlage;</w:t>
      </w:r>
    </w:p>
    <w:p>
      <w:pPr>
        <w:pStyle w:val="Compact"/>
        <w:numPr>
          <w:ilvl w:val="0"/>
          <w:numId w:val="1038"/>
        </w:numPr>
      </w:pPr>
      <w:r>
        <w:t xml:space="preserve">gegebenenfalls gültigen Kommunikationsconsent.</w:t>
      </w:r>
    </w:p>
    <w:bookmarkEnd w:id="89"/>
    <w:bookmarkStart w:id="90" w:name="kein-versand-ohne-infrastruktur"/>
    <w:p>
      <w:pPr>
        <w:pStyle w:val="Heading2"/>
      </w:pPr>
      <w:r>
        <w:t xml:space="preserve">15.3 Kein Versand ohne Infrastruktur</w:t>
      </w:r>
    </w:p>
    <w:p>
      <w:pPr>
        <w:pStyle w:val="FirstParagraph"/>
      </w:pPr>
      <w:r>
        <w:t xml:space="preserve">Solange kein produktiver Scheduler beziehungsweise Nachrichtendienst aktiviert wurde, wird kein automatischer Versand geschuldet.</w:t>
      </w:r>
    </w:p>
    <w:bookmarkEnd w:id="90"/>
    <w:bookmarkStart w:id="91" w:name="punkteverfall-und-reminder"/>
    <w:p>
      <w:pPr>
        <w:pStyle w:val="Heading2"/>
      </w:pPr>
      <w:r>
        <w:t xml:space="preserve">15.4 Punkteverfall und Reminder</w:t>
      </w:r>
    </w:p>
    <w:p>
      <w:pPr>
        <w:pStyle w:val="FirstParagraph"/>
      </w:pPr>
      <w:r>
        <w:t xml:space="preserve">Die Plattform kann:</w:t>
      </w:r>
    </w:p>
    <w:p>
      <w:pPr>
        <w:pStyle w:val="Compact"/>
        <w:numPr>
          <w:ilvl w:val="0"/>
          <w:numId w:val="1039"/>
        </w:numPr>
      </w:pPr>
      <w:r>
        <w:t xml:space="preserve">Punktegültigkeiten speichern;</w:t>
      </w:r>
    </w:p>
    <w:p>
      <w:pPr>
        <w:pStyle w:val="Compact"/>
        <w:numPr>
          <w:ilvl w:val="0"/>
          <w:numId w:val="1039"/>
        </w:numPr>
      </w:pPr>
      <w:r>
        <w:t xml:space="preserve">bevorstehenden Verfall berechnen;</w:t>
      </w:r>
    </w:p>
    <w:p>
      <w:pPr>
        <w:pStyle w:val="Compact"/>
        <w:numPr>
          <w:ilvl w:val="0"/>
          <w:numId w:val="1039"/>
        </w:numPr>
      </w:pPr>
      <w:r>
        <w:t xml:space="preserve">Reminder vorbereiten;</w:t>
      </w:r>
    </w:p>
    <w:p>
      <w:pPr>
        <w:pStyle w:val="Compact"/>
        <w:numPr>
          <w:ilvl w:val="0"/>
          <w:numId w:val="1039"/>
        </w:numPr>
      </w:pPr>
      <w:r>
        <w:t xml:space="preserve">Hinweise im Kundenportal anzeigen.</w:t>
      </w:r>
    </w:p>
    <w:p>
      <w:pPr>
        <w:pStyle w:val="FirstParagraph"/>
      </w:pPr>
      <w:r>
        <w:t xml:space="preserve">Der tatsächliche Versand externer Nachrichten hängt vom gebuchten Kommunikationsmodul und einer zulässigen Versandberechtigung ab.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restaurant-finder"/>
    <w:p>
      <w:pPr>
        <w:pStyle w:val="Heading1"/>
      </w:pPr>
      <w:r>
        <w:t xml:space="preserve">16. Restaurant-Finder</w:t>
      </w:r>
    </w:p>
    <w:bookmarkStart w:id="93" w:name="zweck-1"/>
    <w:p>
      <w:pPr>
        <w:pStyle w:val="Heading2"/>
      </w:pPr>
      <w:r>
        <w:t xml:space="preserve">16.1 Zweck</w:t>
      </w:r>
    </w:p>
    <w:p>
      <w:pPr>
        <w:pStyle w:val="FirstParagraph"/>
      </w:pPr>
      <w:r>
        <w:t xml:space="preserve">Der Finder kann teilnehmende Partnerrestaurants anzeigen.</w:t>
      </w:r>
    </w:p>
    <w:bookmarkEnd w:id="93"/>
    <w:bookmarkStart w:id="94" w:name="datenquelle"/>
    <w:p>
      <w:pPr>
        <w:pStyle w:val="Heading2"/>
      </w:pPr>
      <w:r>
        <w:t xml:space="preserve">16.2 Datenquelle</w:t>
      </w:r>
    </w:p>
    <w:p>
      <w:pPr>
        <w:pStyle w:val="FirstParagraph"/>
      </w:pPr>
      <w:r>
        <w:t xml:space="preserve">Restaurantdaten stammen ausschließlich aus der WUXUAI-Datenbank.</w:t>
      </w:r>
    </w:p>
    <w:p>
      <w:pPr>
        <w:pStyle w:val="BodyText"/>
      </w:pPr>
      <w:r>
        <w:t xml:space="preserve">Es werden nicht automatisch sämtliche Restaurants eines externen Kartendienstes angezeigt.</w:t>
      </w:r>
    </w:p>
    <w:bookmarkEnd w:id="94"/>
    <w:bookmarkStart w:id="95" w:name="voraussetzungen"/>
    <w:p>
      <w:pPr>
        <w:pStyle w:val="Heading2"/>
      </w:pPr>
      <w:r>
        <w:t xml:space="preserve">16.3 Voraussetzungen</w:t>
      </w:r>
    </w:p>
    <w:p>
      <w:pPr>
        <w:pStyle w:val="FirstParagraph"/>
      </w:pPr>
      <w:r>
        <w:t xml:space="preserve">Ein Restaurant wird grundsätzlich nur angezeigt, wenn:</w:t>
      </w:r>
    </w:p>
    <w:p>
      <w:pPr>
        <w:pStyle w:val="Compact"/>
        <w:numPr>
          <w:ilvl w:val="0"/>
          <w:numId w:val="1040"/>
        </w:numPr>
      </w:pPr>
      <w:r>
        <w:t xml:space="preserve">es aktiv ist;</w:t>
      </w:r>
    </w:p>
    <w:p>
      <w:pPr>
        <w:pStyle w:val="Compact"/>
        <w:numPr>
          <w:ilvl w:val="0"/>
          <w:numId w:val="1040"/>
        </w:numPr>
      </w:pPr>
      <w:r>
        <w:t xml:space="preserve">Discoverability aktiviert ist;</w:t>
      </w:r>
    </w:p>
    <w:p>
      <w:pPr>
        <w:pStyle w:val="Compact"/>
        <w:numPr>
          <w:ilvl w:val="0"/>
          <w:numId w:val="1040"/>
        </w:numPr>
      </w:pPr>
      <w:r>
        <w:t xml:space="preserve">gültige Koordinaten vorliegen;</w:t>
      </w:r>
    </w:p>
    <w:p>
      <w:pPr>
        <w:pStyle w:val="Compact"/>
        <w:numPr>
          <w:ilvl w:val="0"/>
          <w:numId w:val="1040"/>
        </w:numPr>
      </w:pPr>
      <w:r>
        <w:t xml:space="preserve">rechtliche und technische Freigaben erfüllt sind.</w:t>
      </w:r>
    </w:p>
    <w:bookmarkEnd w:id="95"/>
    <w:bookmarkStart w:id="96" w:name="karte"/>
    <w:p>
      <w:pPr>
        <w:pStyle w:val="Heading2"/>
      </w:pPr>
      <w:r>
        <w:t xml:space="preserve">16.4 Karte</w:t>
      </w:r>
    </w:p>
    <w:p>
      <w:pPr>
        <w:pStyle w:val="FirstParagraph"/>
      </w:pPr>
      <w:r>
        <w:t xml:space="preserve">Die Karte kann auf Leaflet oder MapLibre und OpenStreetMap-Darstellung basieren.</w:t>
      </w:r>
    </w:p>
    <w:bookmarkEnd w:id="96"/>
    <w:bookmarkStart w:id="97" w:name="lazy-loading"/>
    <w:p>
      <w:pPr>
        <w:pStyle w:val="Heading2"/>
      </w:pPr>
      <w:r>
        <w:t xml:space="preserve">16.5 Lazy Loading</w:t>
      </w:r>
    </w:p>
    <w:p>
      <w:pPr>
        <w:pStyle w:val="FirstParagraph"/>
      </w:pPr>
      <w:r>
        <w:t xml:space="preserve">Kartenbibliotheken können erst geladen werden, wenn der Nutzer die Kartenfunktion öffnet.</w:t>
      </w:r>
    </w:p>
    <w:bookmarkEnd w:id="97"/>
    <w:bookmarkStart w:id="98" w:name="listenalternative"/>
    <w:p>
      <w:pPr>
        <w:pStyle w:val="Heading2"/>
      </w:pPr>
      <w:r>
        <w:t xml:space="preserve">16.6 Listenalternative</w:t>
      </w:r>
    </w:p>
    <w:p>
      <w:pPr>
        <w:pStyle w:val="FirstParagraph"/>
      </w:pPr>
      <w:r>
        <w:t xml:space="preserve">Alle wesentlichen Restaurantinformationen müssen auch als Liste verfügbar sein.</w:t>
      </w:r>
    </w:p>
    <w:bookmarkEnd w:id="98"/>
    <w:bookmarkStart w:id="99" w:name="externe-navigation"/>
    <w:p>
      <w:pPr>
        <w:pStyle w:val="Heading2"/>
      </w:pPr>
      <w:r>
        <w:t xml:space="preserve">16.7 Externe Navigation</w:t>
      </w:r>
    </w:p>
    <w:p>
      <w:pPr>
        <w:pStyle w:val="FirstParagraph"/>
      </w:pPr>
      <w:r>
        <w:t xml:space="preserve">Ein Routenbutton kann einen externen Kartendienst öffnen.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https://www.google.com/maps/search/?api=1&amp;query=[LATITUDE],[LONGITUDE]</w:t>
      </w:r>
    </w:p>
    <w:p>
      <w:pPr>
        <w:pStyle w:val="FirstParagraph"/>
      </w:pPr>
      <w:r>
        <w:t xml:space="preserve">WUXUAI stellt keine eigene Turn-by-turn-Navigation bereit.</w:t>
      </w:r>
    </w:p>
    <w:bookmarkEnd w:id="99"/>
    <w:bookmarkStart w:id="100" w:name="standort"/>
    <w:p>
      <w:pPr>
        <w:pStyle w:val="Heading2"/>
      </w:pPr>
      <w:r>
        <w:t xml:space="preserve">16.8 Standort</w:t>
      </w:r>
    </w:p>
    <w:p>
      <w:pPr>
        <w:pStyle w:val="FirstParagraph"/>
      </w:pPr>
      <w:r>
        <w:t xml:space="preserve">Der Nutzer kann freiwillig eine Standortfreigabe erteilen.</w:t>
      </w:r>
    </w:p>
    <w:p>
      <w:pPr>
        <w:pStyle w:val="BodyText"/>
      </w:pPr>
      <w:r>
        <w:t xml:space="preserve">Ohne Standortfreigabe bleiben Suche und Liste grundsätzlich verfügbar.</w:t>
      </w:r>
    </w:p>
    <w:bookmarkEnd w:id="100"/>
    <w:bookmarkStart w:id="101" w:name="empfehlungen"/>
    <w:p>
      <w:pPr>
        <w:pStyle w:val="Heading2"/>
      </w:pPr>
      <w:r>
        <w:t xml:space="preserve">16.9 Empfehlungen</w:t>
      </w:r>
    </w:p>
    <w:p>
      <w:pPr>
        <w:pStyle w:val="FirstParagraph"/>
      </w:pPr>
      <w:r>
        <w:t xml:space="preserve">Die Plattform kann Empfehlungen anhand folgender Faktoren berechnen:</w:t>
      </w:r>
    </w:p>
    <w:p>
      <w:pPr>
        <w:pStyle w:val="Compact"/>
        <w:numPr>
          <w:ilvl w:val="0"/>
          <w:numId w:val="1041"/>
        </w:numPr>
      </w:pPr>
      <w:r>
        <w:t xml:space="preserve">Reward verfügbar;</w:t>
      </w:r>
    </w:p>
    <w:p>
      <w:pPr>
        <w:pStyle w:val="Compact"/>
        <w:numPr>
          <w:ilvl w:val="0"/>
          <w:numId w:val="1041"/>
        </w:numPr>
      </w:pPr>
      <w:r>
        <w:t xml:space="preserve">wenige fehlende Punkte;</w:t>
      </w:r>
    </w:p>
    <w:p>
      <w:pPr>
        <w:pStyle w:val="Compact"/>
        <w:numPr>
          <w:ilvl w:val="0"/>
          <w:numId w:val="1041"/>
        </w:numPr>
      </w:pPr>
      <w:r>
        <w:t xml:space="preserve">Entfernung;</w:t>
      </w:r>
    </w:p>
    <w:p>
      <w:pPr>
        <w:pStyle w:val="Compact"/>
        <w:numPr>
          <w:ilvl w:val="0"/>
          <w:numId w:val="1041"/>
        </w:numPr>
      </w:pPr>
      <w:r>
        <w:t xml:space="preserve">bevorstehender Ablauf;</w:t>
      </w:r>
    </w:p>
    <w:p>
      <w:pPr>
        <w:pStyle w:val="Compact"/>
        <w:numPr>
          <w:ilvl w:val="0"/>
          <w:numId w:val="1041"/>
        </w:numPr>
      </w:pPr>
      <w:r>
        <w:t xml:space="preserve">bereits besuchtes Restaurant.</w:t>
      </w:r>
    </w:p>
    <w:p>
      <w:pPr>
        <w:pStyle w:val="FirstParagraph"/>
      </w:pPr>
      <w:r>
        <w:t xml:space="preserve">Eine Empfehlung garantiert nicht:</w:t>
      </w:r>
    </w:p>
    <w:p>
      <w:pPr>
        <w:pStyle w:val="Compact"/>
        <w:numPr>
          <w:ilvl w:val="0"/>
          <w:numId w:val="1042"/>
        </w:numPr>
      </w:pPr>
      <w:r>
        <w:t xml:space="preserve">Öffnung;</w:t>
      </w:r>
    </w:p>
    <w:p>
      <w:pPr>
        <w:pStyle w:val="Compact"/>
        <w:numPr>
          <w:ilvl w:val="0"/>
          <w:numId w:val="1042"/>
        </w:numPr>
      </w:pPr>
      <w:r>
        <w:t xml:space="preserve">freie Plätze;</w:t>
      </w:r>
    </w:p>
    <w:p>
      <w:pPr>
        <w:pStyle w:val="Compact"/>
        <w:numPr>
          <w:ilvl w:val="0"/>
          <w:numId w:val="1042"/>
        </w:numPr>
      </w:pPr>
      <w:r>
        <w:t xml:space="preserve">Produktverfügbarkeit;</w:t>
      </w:r>
    </w:p>
    <w:p>
      <w:pPr>
        <w:pStyle w:val="Compact"/>
        <w:numPr>
          <w:ilvl w:val="0"/>
          <w:numId w:val="1042"/>
        </w:numPr>
      </w:pPr>
      <w:r>
        <w:t xml:space="preserve">tatsächliche Einlösbarkeit zum konkreten Zeitpunkt.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meine-restaurants"/>
    <w:p>
      <w:pPr>
        <w:pStyle w:val="Heading1"/>
      </w:pPr>
      <w:r>
        <w:t xml:space="preserve">17. „Meine Restaurants“</w:t>
      </w:r>
    </w:p>
    <w:p>
      <w:pPr>
        <w:pStyle w:val="FirstParagraph"/>
      </w:pPr>
      <w:r>
        <w:t xml:space="preserve">Die Plattform kann dem Gast eine Übersicht seiner Restaurantbeziehungen anzeigen.</w:t>
      </w:r>
    </w:p>
    <w:p>
      <w:pPr>
        <w:pStyle w:val="BodyText"/>
      </w:pPr>
      <w:r>
        <w:t xml:space="preserve">Je Restaurant können angezeigt werden:</w:t>
      </w:r>
    </w:p>
    <w:p>
      <w:pPr>
        <w:pStyle w:val="Compact"/>
        <w:numPr>
          <w:ilvl w:val="0"/>
          <w:numId w:val="1043"/>
        </w:numPr>
      </w:pPr>
      <w:r>
        <w:t xml:space="preserve">Restaurantname;</w:t>
      </w:r>
    </w:p>
    <w:p>
      <w:pPr>
        <w:pStyle w:val="Compact"/>
        <w:numPr>
          <w:ilvl w:val="0"/>
          <w:numId w:val="1043"/>
        </w:numPr>
      </w:pPr>
      <w:r>
        <w:t xml:space="preserve">Punktestand;</w:t>
      </w:r>
    </w:p>
    <w:p>
      <w:pPr>
        <w:pStyle w:val="Compact"/>
        <w:numPr>
          <w:ilvl w:val="0"/>
          <w:numId w:val="1043"/>
        </w:numPr>
      </w:pPr>
      <w:r>
        <w:t xml:space="preserve">Besuche;</w:t>
      </w:r>
    </w:p>
    <w:p>
      <w:pPr>
        <w:pStyle w:val="Compact"/>
        <w:numPr>
          <w:ilvl w:val="0"/>
          <w:numId w:val="1043"/>
        </w:numPr>
      </w:pPr>
      <w:r>
        <w:t xml:space="preserve">letzter Besuch;</w:t>
      </w:r>
    </w:p>
    <w:p>
      <w:pPr>
        <w:pStyle w:val="Compact"/>
        <w:numPr>
          <w:ilvl w:val="0"/>
          <w:numId w:val="1043"/>
        </w:numPr>
      </w:pPr>
      <w:r>
        <w:t xml:space="preserve">verfügbare Rewards;</w:t>
      </w:r>
    </w:p>
    <w:p>
      <w:pPr>
        <w:pStyle w:val="Compact"/>
        <w:numPr>
          <w:ilvl w:val="0"/>
          <w:numId w:val="1043"/>
        </w:numPr>
      </w:pPr>
      <w:r>
        <w:t xml:space="preserve">nächster Reward;</w:t>
      </w:r>
    </w:p>
    <w:p>
      <w:pPr>
        <w:pStyle w:val="Compact"/>
        <w:numPr>
          <w:ilvl w:val="0"/>
          <w:numId w:val="1043"/>
        </w:numPr>
      </w:pPr>
      <w:r>
        <w:t xml:space="preserve">Programstatus.</w:t>
      </w:r>
    </w:p>
    <w:p>
      <w:pPr>
        <w:pStyle w:val="FirstParagraph"/>
      </w:pPr>
      <w:r>
        <w:t xml:space="preserve">Punkte werden nicht restaurantübergreifend summiert.</w:t>
      </w:r>
    </w:p>
    <w:p>
      <w:r>
        <w:pict>
          <v:rect style="width:0;height:1.5pt" o:hralign="center" o:hrstd="t" o:hr="t"/>
        </w:pict>
      </w:r>
    </w:p>
    <w:bookmarkEnd w:id="103"/>
    <w:bookmarkStart w:id="109" w:name="legal-center"/>
    <w:p>
      <w:pPr>
        <w:pStyle w:val="Heading1"/>
      </w:pPr>
      <w:r>
        <w:t xml:space="preserve">18. Legal Center</w:t>
      </w:r>
    </w:p>
    <w:bookmarkStart w:id="104" w:name="öffentlicher-legal-bereich"/>
    <w:p>
      <w:pPr>
        <w:pStyle w:val="Heading2"/>
      </w:pPr>
      <w:r>
        <w:t xml:space="preserve">18.1 Öffentlicher Legal-Bereich</w:t>
      </w:r>
    </w:p>
    <w:p>
      <w:pPr>
        <w:pStyle w:val="FirstParagraph"/>
      </w:pPr>
      <w:r>
        <w:t xml:space="preserve">Der Legal-Bereich kann bereitstellen:</w:t>
      </w:r>
    </w:p>
    <w:p>
      <w:pPr>
        <w:pStyle w:val="Compact"/>
        <w:numPr>
          <w:ilvl w:val="0"/>
          <w:numId w:val="1044"/>
        </w:numPr>
      </w:pPr>
      <w:r>
        <w:t xml:space="preserve">Teilnahmebedingungen;</w:t>
      </w:r>
    </w:p>
    <w:p>
      <w:pPr>
        <w:pStyle w:val="Compact"/>
        <w:numPr>
          <w:ilvl w:val="0"/>
          <w:numId w:val="1044"/>
        </w:numPr>
      </w:pPr>
      <w:r>
        <w:t xml:space="preserve">Restaurant-Datenschutzerklärung;</w:t>
      </w:r>
    </w:p>
    <w:p>
      <w:pPr>
        <w:pStyle w:val="Compact"/>
        <w:numPr>
          <w:ilvl w:val="0"/>
          <w:numId w:val="1044"/>
        </w:numPr>
      </w:pPr>
      <w:r>
        <w:t xml:space="preserve">Restaurant-Impressum;</w:t>
      </w:r>
    </w:p>
    <w:p>
      <w:pPr>
        <w:pStyle w:val="Compact"/>
        <w:numPr>
          <w:ilvl w:val="0"/>
          <w:numId w:val="1044"/>
        </w:numPr>
      </w:pPr>
      <w:r>
        <w:t xml:space="preserve">Rewardbedingungen;</w:t>
      </w:r>
    </w:p>
    <w:p>
      <w:pPr>
        <w:pStyle w:val="Compact"/>
        <w:numPr>
          <w:ilvl w:val="0"/>
          <w:numId w:val="1044"/>
        </w:numPr>
      </w:pPr>
      <w:r>
        <w:t xml:space="preserve">Programminformationen;</w:t>
      </w:r>
    </w:p>
    <w:p>
      <w:pPr>
        <w:pStyle w:val="Compact"/>
        <w:numPr>
          <w:ilvl w:val="0"/>
          <w:numId w:val="1044"/>
        </w:numPr>
      </w:pPr>
      <w:r>
        <w:t xml:space="preserve">WUXUAI-Impressum;</w:t>
      </w:r>
    </w:p>
    <w:p>
      <w:pPr>
        <w:pStyle w:val="Compact"/>
        <w:numPr>
          <w:ilvl w:val="0"/>
          <w:numId w:val="1044"/>
        </w:numPr>
      </w:pPr>
      <w:r>
        <w:t xml:space="preserve">WUXUAI-Datenschutzerklärung;</w:t>
      </w:r>
    </w:p>
    <w:p>
      <w:pPr>
        <w:pStyle w:val="Compact"/>
        <w:numPr>
          <w:ilvl w:val="0"/>
          <w:numId w:val="1044"/>
        </w:numPr>
      </w:pPr>
      <w:r>
        <w:t xml:space="preserve">Barrierefreiheitsinformation.</w:t>
      </w:r>
    </w:p>
    <w:bookmarkEnd w:id="104"/>
    <w:bookmarkStart w:id="105" w:name="read-only"/>
    <w:p>
      <w:pPr>
        <w:pStyle w:val="Heading2"/>
      </w:pPr>
      <w:r>
        <w:t xml:space="preserve">18.2 Read-only</w:t>
      </w:r>
    </w:p>
    <w:p>
      <w:pPr>
        <w:pStyle w:val="FirstParagraph"/>
      </w:pPr>
      <w:r>
        <w:t xml:space="preserve">Der öffentliche Abruf ist read-only.</w:t>
      </w:r>
    </w:p>
    <w:p>
      <w:pPr>
        <w:pStyle w:val="BodyText"/>
      </w:pPr>
      <w:r>
        <w:t xml:space="preserve">Der öffentliche Aufruf soll keine Dokumentvorlagen erzeugen oder Rechtstexte verändern.</w:t>
      </w:r>
    </w:p>
    <w:bookmarkEnd w:id="105"/>
    <w:bookmarkStart w:id="106" w:name="versionierung"/>
    <w:p>
      <w:pPr>
        <w:pStyle w:val="Heading2"/>
      </w:pPr>
      <w:r>
        <w:t xml:space="preserve">18.3 Versionierung</w:t>
      </w:r>
    </w:p>
    <w:p>
      <w:pPr>
        <w:pStyle w:val="FirstParagraph"/>
      </w:pPr>
      <w:r>
        <w:t xml:space="preserve">Dokumente können enthalten:</w:t>
      </w:r>
    </w:p>
    <w:p>
      <w:pPr>
        <w:pStyle w:val="Compact"/>
        <w:numPr>
          <w:ilvl w:val="0"/>
          <w:numId w:val="1045"/>
        </w:numPr>
      </w:pPr>
      <w:r>
        <w:t xml:space="preserve">Dokumenttyp;</w:t>
      </w:r>
    </w:p>
    <w:p>
      <w:pPr>
        <w:pStyle w:val="Compact"/>
        <w:numPr>
          <w:ilvl w:val="0"/>
          <w:numId w:val="1045"/>
        </w:numPr>
      </w:pPr>
      <w:r>
        <w:t xml:space="preserve">Version;</w:t>
      </w:r>
    </w:p>
    <w:p>
      <w:pPr>
        <w:pStyle w:val="Compact"/>
        <w:numPr>
          <w:ilvl w:val="0"/>
          <w:numId w:val="1045"/>
        </w:numPr>
      </w:pPr>
      <w:r>
        <w:t xml:space="preserve">Sprache;</w:t>
      </w:r>
    </w:p>
    <w:p>
      <w:pPr>
        <w:pStyle w:val="Compact"/>
        <w:numPr>
          <w:ilvl w:val="0"/>
          <w:numId w:val="1045"/>
        </w:numPr>
      </w:pPr>
      <w:r>
        <w:t xml:space="preserve">Hash;</w:t>
      </w:r>
    </w:p>
    <w:p>
      <w:pPr>
        <w:pStyle w:val="Compact"/>
        <w:numPr>
          <w:ilvl w:val="0"/>
          <w:numId w:val="1045"/>
        </w:numPr>
      </w:pPr>
      <w:r>
        <w:t xml:space="preserve">Veröffentlichungsdatum;</w:t>
      </w:r>
    </w:p>
    <w:p>
      <w:pPr>
        <w:pStyle w:val="Compact"/>
        <w:numPr>
          <w:ilvl w:val="0"/>
          <w:numId w:val="1045"/>
        </w:numPr>
      </w:pPr>
      <w:r>
        <w:t xml:space="preserve">Inkrafttretensdatum;</w:t>
      </w:r>
    </w:p>
    <w:p>
      <w:pPr>
        <w:pStyle w:val="Compact"/>
        <w:numPr>
          <w:ilvl w:val="0"/>
          <w:numId w:val="1045"/>
        </w:numPr>
      </w:pPr>
      <w:r>
        <w:t xml:space="preserve">Herausgeber.</w:t>
      </w:r>
    </w:p>
    <w:bookmarkEnd w:id="106"/>
    <w:bookmarkStart w:id="107" w:name="pflichtannahmen-1"/>
    <w:p>
      <w:pPr>
        <w:pStyle w:val="Heading2"/>
      </w:pPr>
      <w:r>
        <w:t xml:space="preserve">18.4 Pflichtannahmen</w:t>
      </w:r>
    </w:p>
    <w:p>
      <w:pPr>
        <w:pStyle w:val="FirstParagraph"/>
      </w:pPr>
      <w:r>
        <w:t xml:space="preserve">Die Plattform kann erforderliche Annahmen beim Registrierungsprozess erzwingen.</w:t>
      </w:r>
    </w:p>
    <w:bookmarkEnd w:id="107"/>
    <w:bookmarkStart w:id="108" w:name="historie"/>
    <w:p>
      <w:pPr>
        <w:pStyle w:val="Heading2"/>
      </w:pPr>
      <w:r>
        <w:t xml:space="preserve">18.5 Historie</w:t>
      </w:r>
    </w:p>
    <w:p>
      <w:pPr>
        <w:pStyle w:val="FirstParagraph"/>
      </w:pPr>
      <w:r>
        <w:t xml:space="preserve">Historische Annahmenachweise werden nicht durch spätere Dokumentversionen überschrieben.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consent-verwaltung"/>
    <w:p>
      <w:pPr>
        <w:pStyle w:val="Heading1"/>
      </w:pPr>
      <w:r>
        <w:t xml:space="preserve">19. Consent-Verwaltung</w:t>
      </w:r>
    </w:p>
    <w:bookmarkStart w:id="110" w:name="kanäle"/>
    <w:p>
      <w:pPr>
        <w:pStyle w:val="Heading2"/>
      </w:pPr>
      <w:r>
        <w:t xml:space="preserve">19.1 Kanäle</w:t>
      </w:r>
    </w:p>
    <w:p>
      <w:pPr>
        <w:pStyle w:val="FirstParagraph"/>
      </w:pPr>
      <w:r>
        <w:t xml:space="preserve">Die Plattform kann getrennte Consents verwalten für:</w:t>
      </w:r>
    </w:p>
    <w:p>
      <w:pPr>
        <w:pStyle w:val="Compact"/>
        <w:numPr>
          <w:ilvl w:val="0"/>
          <w:numId w:val="1046"/>
        </w:numPr>
      </w:pPr>
      <w:r>
        <w:t xml:space="preserve">E-Mail;</w:t>
      </w:r>
    </w:p>
    <w:p>
      <w:pPr>
        <w:pStyle w:val="Compact"/>
        <w:numPr>
          <w:ilvl w:val="0"/>
          <w:numId w:val="1046"/>
        </w:numPr>
      </w:pPr>
      <w:r>
        <w:t xml:space="preserve">SMS;</w:t>
      </w:r>
    </w:p>
    <w:p>
      <w:pPr>
        <w:pStyle w:val="Compact"/>
        <w:numPr>
          <w:ilvl w:val="0"/>
          <w:numId w:val="1046"/>
        </w:numPr>
      </w:pPr>
      <w:r>
        <w:t xml:space="preserve">Push.</w:t>
      </w:r>
    </w:p>
    <w:bookmarkEnd w:id="110"/>
    <w:bookmarkStart w:id="111" w:name="restaurantbezug"/>
    <w:p>
      <w:pPr>
        <w:pStyle w:val="Heading2"/>
      </w:pPr>
      <w:r>
        <w:t xml:space="preserve">19.2 Restaurantbezug</w:t>
      </w:r>
    </w:p>
    <w:p>
      <w:pPr>
        <w:pStyle w:val="FirstParagraph"/>
      </w:pPr>
      <w:r>
        <w:t xml:space="preserve">Ein Consent gilt nur für den zugeordneten Restaurant-Rechtsträger beziehungsweise den transparent benannten Unternehmensumfang.</w:t>
      </w:r>
    </w:p>
    <w:bookmarkEnd w:id="111"/>
    <w:bookmarkStart w:id="112" w:name="status"/>
    <w:p>
      <w:pPr>
        <w:pStyle w:val="Heading2"/>
      </w:pPr>
      <w:r>
        <w:t xml:space="preserve">19.3 Status</w:t>
      </w:r>
    </w:p>
    <w:p>
      <w:pPr>
        <w:pStyle w:val="FirstParagraph"/>
      </w:pPr>
      <w:r>
        <w:t xml:space="preserve">Mögliche Statuswerte:</w:t>
      </w:r>
    </w:p>
    <w:p>
      <w:pPr>
        <w:pStyle w:val="Compact"/>
        <w:numPr>
          <w:ilvl w:val="0"/>
          <w:numId w:val="1047"/>
        </w:numPr>
      </w:pPr>
      <w:r>
        <w:t xml:space="preserve">ausstehend;</w:t>
      </w:r>
    </w:p>
    <w:p>
      <w:pPr>
        <w:pStyle w:val="Compact"/>
        <w:numPr>
          <w:ilvl w:val="0"/>
          <w:numId w:val="1047"/>
        </w:numPr>
      </w:pPr>
      <w:r>
        <w:t xml:space="preserve">aktiv;</w:t>
      </w:r>
    </w:p>
    <w:p>
      <w:pPr>
        <w:pStyle w:val="Compact"/>
        <w:numPr>
          <w:ilvl w:val="0"/>
          <w:numId w:val="1047"/>
        </w:numPr>
      </w:pPr>
      <w:r>
        <w:t xml:space="preserve">widerrufen;</w:t>
      </w:r>
    </w:p>
    <w:p>
      <w:pPr>
        <w:pStyle w:val="Compact"/>
        <w:numPr>
          <w:ilvl w:val="0"/>
          <w:numId w:val="1047"/>
        </w:numPr>
      </w:pPr>
      <w:r>
        <w:t xml:space="preserve">abgelehnt;</w:t>
      </w:r>
    </w:p>
    <w:p>
      <w:pPr>
        <w:pStyle w:val="Compact"/>
        <w:numPr>
          <w:ilvl w:val="0"/>
          <w:numId w:val="1047"/>
        </w:numPr>
      </w:pPr>
      <w:r>
        <w:t xml:space="preserve">abgelaufen;</w:t>
      </w:r>
    </w:p>
    <w:p>
      <w:pPr>
        <w:pStyle w:val="Compact"/>
        <w:numPr>
          <w:ilvl w:val="0"/>
          <w:numId w:val="1047"/>
        </w:numPr>
      </w:pPr>
      <w:r>
        <w:t xml:space="preserve">technisch ungültig.</w:t>
      </w:r>
    </w:p>
    <w:bookmarkEnd w:id="112"/>
    <w:bookmarkStart w:id="113" w:name="marketing-gate"/>
    <w:p>
      <w:pPr>
        <w:pStyle w:val="Heading2"/>
      </w:pPr>
      <w:r>
        <w:t xml:space="preserve">19.4 Marketing-Gate</w:t>
      </w:r>
    </w:p>
    <w:p>
      <w:pPr>
        <w:pStyle w:val="FirstParagraph"/>
      </w:pPr>
      <w:r>
        <w:t xml:space="preserve">Marketingversand wird serverseitig blockiert, wenn kein geeigneter aktiver Consent beziehungsweise keine andere freigegebene Rechtsgrundlage vorliegt.</w:t>
      </w:r>
    </w:p>
    <w:bookmarkEnd w:id="113"/>
    <w:bookmarkStart w:id="114" w:name="double-opt-in"/>
    <w:p>
      <w:pPr>
        <w:pStyle w:val="Heading2"/>
      </w:pPr>
      <w:r>
        <w:t xml:space="preserve">19.5 Double-Opt-in</w:t>
      </w:r>
    </w:p>
    <w:p>
      <w:pPr>
        <w:pStyle w:val="FirstParagraph"/>
      </w:pPr>
      <w:r>
        <w:t xml:space="preserve">Double-Opt-in oder Nummernbestätigung wird nur geschuldet, wenn:</w:t>
      </w:r>
    </w:p>
    <w:p>
      <w:pPr>
        <w:pStyle w:val="Compact"/>
        <w:numPr>
          <w:ilvl w:val="0"/>
          <w:numId w:val="1048"/>
        </w:numPr>
      </w:pPr>
      <w:r>
        <w:t xml:space="preserve">das Kommunikationsmodul gebucht ist;</w:t>
      </w:r>
    </w:p>
    <w:p>
      <w:pPr>
        <w:pStyle w:val="Compact"/>
        <w:numPr>
          <w:ilvl w:val="0"/>
          <w:numId w:val="1048"/>
        </w:numPr>
      </w:pPr>
      <w:r>
        <w:t xml:space="preserve">der entsprechende Dienst eingerichtet wurde;</w:t>
      </w:r>
    </w:p>
    <w:p>
      <w:pPr>
        <w:pStyle w:val="Compact"/>
        <w:numPr>
          <w:ilvl w:val="0"/>
          <w:numId w:val="1048"/>
        </w:numPr>
      </w:pPr>
      <w:r>
        <w:t xml:space="preserve">der Flow produktiv aktiviert ist.</w:t>
      </w:r>
    </w:p>
    <w:bookmarkEnd w:id="114"/>
    <w:bookmarkStart w:id="115" w:name="widerruf"/>
    <w:p>
      <w:pPr>
        <w:pStyle w:val="Heading2"/>
      </w:pPr>
      <w:r>
        <w:t xml:space="preserve">19.6 Widerruf</w:t>
      </w:r>
    </w:p>
    <w:p>
      <w:pPr>
        <w:pStyle w:val="FirstParagraph"/>
      </w:pPr>
      <w:r>
        <w:t xml:space="preserve">Gäste können aktive Einwilligungen im Kundenkonto widerrufen.</w:t>
      </w:r>
    </w:p>
    <w:p>
      <w:pPr>
        <w:pStyle w:val="BodyText"/>
      </w:pPr>
      <w:r>
        <w:t xml:space="preserve">Ein Widerruf darf den Punktestand nicht automatisch löschen.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datenschutzanfragen"/>
    <w:p>
      <w:pPr>
        <w:pStyle w:val="Heading1"/>
      </w:pPr>
      <w:r>
        <w:t xml:space="preserve">20. Datenschutzanfragen</w:t>
      </w:r>
    </w:p>
    <w:bookmarkStart w:id="117" w:name="kundenfunktionen"/>
    <w:p>
      <w:pPr>
        <w:pStyle w:val="Heading2"/>
      </w:pPr>
      <w:r>
        <w:t xml:space="preserve">20.1 Kundenfunktionen</w:t>
      </w:r>
    </w:p>
    <w:p>
      <w:pPr>
        <w:pStyle w:val="FirstParagraph"/>
      </w:pPr>
      <w:r>
        <w:t xml:space="preserve">Die Plattform kann Funktionen bereitstellen für:</w:t>
      </w:r>
    </w:p>
    <w:p>
      <w:pPr>
        <w:pStyle w:val="Compact"/>
        <w:numPr>
          <w:ilvl w:val="0"/>
          <w:numId w:val="1049"/>
        </w:numPr>
      </w:pPr>
      <w:r>
        <w:t xml:space="preserve">Auskunft;</w:t>
      </w:r>
    </w:p>
    <w:p>
      <w:pPr>
        <w:pStyle w:val="Compact"/>
        <w:numPr>
          <w:ilvl w:val="0"/>
          <w:numId w:val="1049"/>
        </w:numPr>
      </w:pPr>
      <w:r>
        <w:t xml:space="preserve">Datenexport;</w:t>
      </w:r>
    </w:p>
    <w:p>
      <w:pPr>
        <w:pStyle w:val="Compact"/>
        <w:numPr>
          <w:ilvl w:val="0"/>
          <w:numId w:val="1049"/>
        </w:numPr>
      </w:pPr>
      <w:r>
        <w:t xml:space="preserve">Berichtigung;</w:t>
      </w:r>
    </w:p>
    <w:p>
      <w:pPr>
        <w:pStyle w:val="Compact"/>
        <w:numPr>
          <w:ilvl w:val="0"/>
          <w:numId w:val="1049"/>
        </w:numPr>
      </w:pPr>
      <w:r>
        <w:t xml:space="preserve">Einschränkung;</w:t>
      </w:r>
    </w:p>
    <w:p>
      <w:pPr>
        <w:pStyle w:val="Compact"/>
        <w:numPr>
          <w:ilvl w:val="0"/>
          <w:numId w:val="1049"/>
        </w:numPr>
      </w:pPr>
      <w:r>
        <w:t xml:space="preserve">Löschung;</w:t>
      </w:r>
    </w:p>
    <w:p>
      <w:pPr>
        <w:pStyle w:val="Compact"/>
        <w:numPr>
          <w:ilvl w:val="0"/>
          <w:numId w:val="1049"/>
        </w:numPr>
      </w:pPr>
      <w:r>
        <w:t xml:space="preserve">Widerspruch;</w:t>
      </w:r>
    </w:p>
    <w:p>
      <w:pPr>
        <w:pStyle w:val="Compact"/>
        <w:numPr>
          <w:ilvl w:val="0"/>
          <w:numId w:val="1049"/>
        </w:numPr>
      </w:pPr>
      <w:r>
        <w:t xml:space="preserve">Consent-Widerruf.</w:t>
      </w:r>
    </w:p>
    <w:bookmarkEnd w:id="117"/>
    <w:bookmarkStart w:id="118" w:name="identitätsprüfung"/>
    <w:p>
      <w:pPr>
        <w:pStyle w:val="Heading2"/>
      </w:pPr>
      <w:r>
        <w:t xml:space="preserve">20.2 Identitätsprüfung</w:t>
      </w:r>
    </w:p>
    <w:p>
      <w:pPr>
        <w:pStyle w:val="FirstParagraph"/>
      </w:pPr>
      <w:r>
        <w:t xml:space="preserve">Vor sensiblen Exporten oder Löschungen kann eine zusätzliche Identitätsprüfung erforderlich sein.</w:t>
      </w:r>
    </w:p>
    <w:bookmarkEnd w:id="118"/>
    <w:bookmarkStart w:id="119" w:name="datenexport"/>
    <w:p>
      <w:pPr>
        <w:pStyle w:val="Heading2"/>
      </w:pPr>
      <w:r>
        <w:t xml:space="preserve">20.3 Datenexport</w:t>
      </w:r>
    </w:p>
    <w:p>
      <w:pPr>
        <w:pStyle w:val="FirstParagraph"/>
      </w:pPr>
      <w:r>
        <w:t xml:space="preserve">Der Export kann enthalten:</w:t>
      </w:r>
    </w:p>
    <w:p>
      <w:pPr>
        <w:pStyle w:val="Compact"/>
        <w:numPr>
          <w:ilvl w:val="0"/>
          <w:numId w:val="1050"/>
        </w:numPr>
      </w:pPr>
      <w:r>
        <w:t xml:space="preserve">Stammdaten;</w:t>
      </w:r>
    </w:p>
    <w:p>
      <w:pPr>
        <w:pStyle w:val="Compact"/>
        <w:numPr>
          <w:ilvl w:val="0"/>
          <w:numId w:val="1050"/>
        </w:numPr>
      </w:pPr>
      <w:r>
        <w:t xml:space="preserve">Restaurantbeziehungen;</w:t>
      </w:r>
    </w:p>
    <w:p>
      <w:pPr>
        <w:pStyle w:val="Compact"/>
        <w:numPr>
          <w:ilvl w:val="0"/>
          <w:numId w:val="1050"/>
        </w:numPr>
      </w:pPr>
      <w:r>
        <w:t xml:space="preserve">Punkte;</w:t>
      </w:r>
    </w:p>
    <w:p>
      <w:pPr>
        <w:pStyle w:val="Compact"/>
        <w:numPr>
          <w:ilvl w:val="0"/>
          <w:numId w:val="1050"/>
        </w:numPr>
      </w:pPr>
      <w:r>
        <w:t xml:space="preserve">Rewards;</w:t>
      </w:r>
    </w:p>
    <w:p>
      <w:pPr>
        <w:pStyle w:val="Compact"/>
        <w:numPr>
          <w:ilvl w:val="0"/>
          <w:numId w:val="1050"/>
        </w:numPr>
      </w:pPr>
      <w:r>
        <w:t xml:space="preserve">Einlösungen;</w:t>
      </w:r>
    </w:p>
    <w:p>
      <w:pPr>
        <w:pStyle w:val="Compact"/>
        <w:numPr>
          <w:ilvl w:val="0"/>
          <w:numId w:val="1050"/>
        </w:numPr>
      </w:pPr>
      <w:r>
        <w:t xml:space="preserve">Consent-Metadaten;</w:t>
      </w:r>
    </w:p>
    <w:p>
      <w:pPr>
        <w:pStyle w:val="Compact"/>
        <w:numPr>
          <w:ilvl w:val="0"/>
          <w:numId w:val="1050"/>
        </w:numPr>
      </w:pPr>
      <w:r>
        <w:t xml:space="preserve">Legal-Acceptance-Metadaten;</w:t>
      </w:r>
    </w:p>
    <w:p>
      <w:pPr>
        <w:pStyle w:val="Compact"/>
        <w:numPr>
          <w:ilvl w:val="0"/>
          <w:numId w:val="1050"/>
        </w:numPr>
      </w:pPr>
      <w:r>
        <w:t xml:space="preserve">Datenschutzanfragen.</w:t>
      </w:r>
    </w:p>
    <w:p>
      <w:pPr>
        <w:pStyle w:val="FirstParagraph"/>
      </w:pPr>
      <w:r>
        <w:t xml:space="preserve">Vollständige historische Rechtstexte sind nicht zwingend Bestandteil des personenbezogenen Standardexports.</w:t>
      </w:r>
    </w:p>
    <w:bookmarkEnd w:id="119"/>
    <w:bookmarkStart w:id="120" w:name="exportformate"/>
    <w:p>
      <w:pPr>
        <w:pStyle w:val="Heading2"/>
      </w:pPr>
      <w:r>
        <w:t xml:space="preserve">20.4 Exportformate</w:t>
      </w:r>
    </w:p>
    <w:p>
      <w:pPr>
        <w:pStyle w:val="FirstParagraph"/>
      </w:pPr>
      <w:r>
        <w:t xml:space="preserve">Mögliche Formate:</w:t>
      </w:r>
    </w:p>
    <w:p>
      <w:pPr>
        <w:pStyle w:val="Compact"/>
        <w:numPr>
          <w:ilvl w:val="0"/>
          <w:numId w:val="1051"/>
        </w:numPr>
      </w:pPr>
      <w:r>
        <w:t xml:space="preserve">JSON;</w:t>
      </w:r>
    </w:p>
    <w:p>
      <w:pPr>
        <w:pStyle w:val="Compact"/>
        <w:numPr>
          <w:ilvl w:val="0"/>
          <w:numId w:val="1051"/>
        </w:numPr>
      </w:pPr>
      <w:r>
        <w:t xml:space="preserve">CSV;</w:t>
      </w:r>
    </w:p>
    <w:p>
      <w:pPr>
        <w:pStyle w:val="Compact"/>
        <w:numPr>
          <w:ilvl w:val="0"/>
          <w:numId w:val="1051"/>
        </w:numPr>
      </w:pPr>
      <w:r>
        <w:t xml:space="preserve">PDF-Zusammenfassung.</w:t>
      </w:r>
    </w:p>
    <w:bookmarkEnd w:id="120"/>
    <w:bookmarkStart w:id="121" w:name="löschung"/>
    <w:p>
      <w:pPr>
        <w:pStyle w:val="Heading2"/>
      </w:pPr>
      <w:r>
        <w:t xml:space="preserve">20.5 Löschung</w:t>
      </w:r>
    </w:p>
    <w:p>
      <w:pPr>
        <w:pStyle w:val="FirstParagraph"/>
      </w:pPr>
      <w:r>
        <w:t xml:space="preserve">Löschung kann je Datenkategorie erfolgen durch:</w:t>
      </w:r>
    </w:p>
    <w:p>
      <w:pPr>
        <w:pStyle w:val="Compact"/>
        <w:numPr>
          <w:ilvl w:val="0"/>
          <w:numId w:val="1052"/>
        </w:numPr>
      </w:pPr>
      <w:r>
        <w:t xml:space="preserve">Löschung;</w:t>
      </w:r>
    </w:p>
    <w:p>
      <w:pPr>
        <w:pStyle w:val="Compact"/>
        <w:numPr>
          <w:ilvl w:val="0"/>
          <w:numId w:val="1052"/>
        </w:numPr>
      </w:pPr>
      <w:r>
        <w:t xml:space="preserve">Anonymisierung;</w:t>
      </w:r>
    </w:p>
    <w:p>
      <w:pPr>
        <w:pStyle w:val="Compact"/>
        <w:numPr>
          <w:ilvl w:val="0"/>
          <w:numId w:val="1052"/>
        </w:numPr>
      </w:pPr>
      <w:r>
        <w:t xml:space="preserve">Einschränkung;</w:t>
      </w:r>
    </w:p>
    <w:p>
      <w:pPr>
        <w:pStyle w:val="Compact"/>
        <w:numPr>
          <w:ilvl w:val="0"/>
          <w:numId w:val="1052"/>
        </w:numPr>
      </w:pPr>
      <w:r>
        <w:t xml:space="preserve">gesetzliche Aufbewahrung;</w:t>
      </w:r>
    </w:p>
    <w:p>
      <w:pPr>
        <w:pStyle w:val="Compact"/>
        <w:numPr>
          <w:ilvl w:val="0"/>
          <w:numId w:val="1052"/>
        </w:numPr>
      </w:pPr>
      <w:r>
        <w:t xml:space="preserve">Legal Hold.</w:t>
      </w:r>
    </w:p>
    <w:bookmarkEnd w:id="121"/>
    <w:bookmarkStart w:id="122" w:name="keine-automatische-rechtsentscheidung"/>
    <w:p>
      <w:pPr>
        <w:pStyle w:val="Heading2"/>
      </w:pPr>
      <w:r>
        <w:t xml:space="preserve">20.6 Keine automatische Rechtsentscheidung</w:t>
      </w:r>
    </w:p>
    <w:p>
      <w:pPr>
        <w:pStyle w:val="FirstParagraph"/>
      </w:pPr>
      <w:r>
        <w:t xml:space="preserve">Die Plattform unterstützt technisch.</w:t>
      </w:r>
    </w:p>
    <w:p>
      <w:pPr>
        <w:pStyle w:val="BodyText"/>
      </w:pPr>
      <w:r>
        <w:t xml:space="preserve">Die rechtliche Entscheidung bleibt beim jeweils Verantwortlichen.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programmänderung-und-programmende"/>
    <w:p>
      <w:pPr>
        <w:pStyle w:val="Heading1"/>
      </w:pPr>
      <w:r>
        <w:t xml:space="preserve">21. Programmänderung und Programmende</w:t>
      </w:r>
    </w:p>
    <w:bookmarkStart w:id="124" w:name="workflow"/>
    <w:p>
      <w:pPr>
        <w:pStyle w:val="Heading2"/>
      </w:pPr>
      <w:r>
        <w:t xml:space="preserve">21.1 Workflow</w:t>
      </w:r>
    </w:p>
    <w:p>
      <w:pPr>
        <w:pStyle w:val="FirstParagraph"/>
      </w:pPr>
      <w:r>
        <w:t xml:space="preserve">Das Owner-Portal kann einen strukturierten Workflow anbieten für:</w:t>
      </w:r>
    </w:p>
    <w:p>
      <w:pPr>
        <w:pStyle w:val="Compact"/>
        <w:numPr>
          <w:ilvl w:val="0"/>
          <w:numId w:val="1053"/>
        </w:numPr>
      </w:pPr>
      <w:r>
        <w:t xml:space="preserve">Programmaussetzung;</w:t>
      </w:r>
    </w:p>
    <w:p>
      <w:pPr>
        <w:pStyle w:val="Compact"/>
        <w:numPr>
          <w:ilvl w:val="0"/>
          <w:numId w:val="1053"/>
        </w:numPr>
      </w:pPr>
      <w:r>
        <w:t xml:space="preserve">Filialschließung;</w:t>
      </w:r>
    </w:p>
    <w:p>
      <w:pPr>
        <w:pStyle w:val="Compact"/>
        <w:numPr>
          <w:ilvl w:val="0"/>
          <w:numId w:val="1053"/>
        </w:numPr>
      </w:pPr>
      <w:r>
        <w:t xml:space="preserve">letzte Registrierung;</w:t>
      </w:r>
    </w:p>
    <w:p>
      <w:pPr>
        <w:pStyle w:val="Compact"/>
        <w:numPr>
          <w:ilvl w:val="0"/>
          <w:numId w:val="1053"/>
        </w:numPr>
      </w:pPr>
      <w:r>
        <w:t xml:space="preserve">letzten Sammeltag;</w:t>
      </w:r>
    </w:p>
    <w:p>
      <w:pPr>
        <w:pStyle w:val="Compact"/>
        <w:numPr>
          <w:ilvl w:val="0"/>
          <w:numId w:val="1053"/>
        </w:numPr>
      </w:pPr>
      <w:r>
        <w:t xml:space="preserve">letzten Einlösetag;</w:t>
      </w:r>
    </w:p>
    <w:p>
      <w:pPr>
        <w:pStyle w:val="Compact"/>
        <w:numPr>
          <w:ilvl w:val="0"/>
          <w:numId w:val="1053"/>
        </w:numPr>
      </w:pPr>
      <w:r>
        <w:t xml:space="preserve">Kundenmitteilung;</w:t>
      </w:r>
    </w:p>
    <w:p>
      <w:pPr>
        <w:pStyle w:val="Compact"/>
        <w:numPr>
          <w:ilvl w:val="0"/>
          <w:numId w:val="1053"/>
        </w:numPr>
      </w:pPr>
      <w:r>
        <w:t xml:space="preserve">Read-only-Phase;</w:t>
      </w:r>
    </w:p>
    <w:p>
      <w:pPr>
        <w:pStyle w:val="Compact"/>
        <w:numPr>
          <w:ilvl w:val="0"/>
          <w:numId w:val="1053"/>
        </w:numPr>
      </w:pPr>
      <w:r>
        <w:t xml:space="preserve">Datenexport;</w:t>
      </w:r>
    </w:p>
    <w:p>
      <w:pPr>
        <w:pStyle w:val="Compact"/>
        <w:numPr>
          <w:ilvl w:val="0"/>
          <w:numId w:val="1053"/>
        </w:numPr>
      </w:pPr>
      <w:r>
        <w:t xml:space="preserve">Löschung.</w:t>
      </w:r>
    </w:p>
    <w:bookmarkEnd w:id="124"/>
    <w:bookmarkStart w:id="125" w:name="technische-stati"/>
    <w:p>
      <w:pPr>
        <w:pStyle w:val="Heading2"/>
      </w:pPr>
      <w:r>
        <w:t xml:space="preserve">21.2 Technische Stati</w:t>
      </w:r>
    </w:p>
    <w:p>
      <w:pPr>
        <w:pStyle w:val="FirstParagraph"/>
      </w:pPr>
      <w:r>
        <w:t xml:space="preserve">Mögliche Stati:</w:t>
      </w:r>
    </w:p>
    <w:p>
      <w:pPr>
        <w:pStyle w:val="Compact"/>
        <w:numPr>
          <w:ilvl w:val="0"/>
          <w:numId w:val="1054"/>
        </w:numPr>
      </w:pPr>
      <w:r>
        <w:t xml:space="preserve">Entwurf;</w:t>
      </w:r>
    </w:p>
    <w:p>
      <w:pPr>
        <w:pStyle w:val="Compact"/>
        <w:numPr>
          <w:ilvl w:val="0"/>
          <w:numId w:val="1054"/>
        </w:numPr>
      </w:pPr>
      <w:r>
        <w:t xml:space="preserve">geplant;</w:t>
      </w:r>
    </w:p>
    <w:p>
      <w:pPr>
        <w:pStyle w:val="Compact"/>
        <w:numPr>
          <w:ilvl w:val="0"/>
          <w:numId w:val="1054"/>
        </w:numPr>
      </w:pPr>
      <w:r>
        <w:t xml:space="preserve">angekündigt;</w:t>
      </w:r>
    </w:p>
    <w:p>
      <w:pPr>
        <w:pStyle w:val="Compact"/>
        <w:numPr>
          <w:ilvl w:val="0"/>
          <w:numId w:val="1054"/>
        </w:numPr>
      </w:pPr>
      <w:r>
        <w:t xml:space="preserve">Registrierung geschlossen;</w:t>
      </w:r>
    </w:p>
    <w:p>
      <w:pPr>
        <w:pStyle w:val="Compact"/>
        <w:numPr>
          <w:ilvl w:val="0"/>
          <w:numId w:val="1054"/>
        </w:numPr>
      </w:pPr>
      <w:r>
        <w:t xml:space="preserve">Sammeln geschlossen;</w:t>
      </w:r>
    </w:p>
    <w:p>
      <w:pPr>
        <w:pStyle w:val="Compact"/>
        <w:numPr>
          <w:ilvl w:val="0"/>
          <w:numId w:val="1054"/>
        </w:numPr>
      </w:pPr>
      <w:r>
        <w:t xml:space="preserve">Einlösung offen;</w:t>
      </w:r>
    </w:p>
    <w:p>
      <w:pPr>
        <w:pStyle w:val="Compact"/>
        <w:numPr>
          <w:ilvl w:val="0"/>
          <w:numId w:val="1054"/>
        </w:numPr>
      </w:pPr>
      <w:r>
        <w:t xml:space="preserve">beendet;</w:t>
      </w:r>
    </w:p>
    <w:p>
      <w:pPr>
        <w:pStyle w:val="Compact"/>
        <w:numPr>
          <w:ilvl w:val="0"/>
          <w:numId w:val="1054"/>
        </w:numPr>
      </w:pPr>
      <w:r>
        <w:t xml:space="preserve">Read-only;</w:t>
      </w:r>
    </w:p>
    <w:p>
      <w:pPr>
        <w:pStyle w:val="Compact"/>
        <w:numPr>
          <w:ilvl w:val="0"/>
          <w:numId w:val="1054"/>
        </w:numPr>
      </w:pPr>
      <w:r>
        <w:t xml:space="preserve">Löschung geplant;</w:t>
      </w:r>
    </w:p>
    <w:p>
      <w:pPr>
        <w:pStyle w:val="Compact"/>
        <w:numPr>
          <w:ilvl w:val="0"/>
          <w:numId w:val="1054"/>
        </w:numPr>
      </w:pPr>
      <w:r>
        <w:t xml:space="preserve">abgeschlossen.</w:t>
      </w:r>
    </w:p>
    <w:bookmarkEnd w:id="125"/>
    <w:bookmarkStart w:id="126" w:name="keine-automatische-juristische-freigabe"/>
    <w:p>
      <w:pPr>
        <w:pStyle w:val="Heading2"/>
      </w:pPr>
      <w:r>
        <w:t xml:space="preserve">21.3 Keine automatische juristische Freigabe</w:t>
      </w:r>
    </w:p>
    <w:p>
      <w:pPr>
        <w:pStyle w:val="FirstParagraph"/>
      </w:pPr>
      <w:r>
        <w:t xml:space="preserve">Die Plattform kann Fristen und Warnungen vorschlagen.</w:t>
      </w:r>
    </w:p>
    <w:p>
      <w:pPr>
        <w:pStyle w:val="BodyText"/>
      </w:pPr>
      <w:r>
        <w:t xml:space="preserve">Sie entscheidet nicht verbindlich, welche Übergangsfrist rechtlich ausreichend ist.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audit-und-protokollierung"/>
    <w:p>
      <w:pPr>
        <w:pStyle w:val="Heading1"/>
      </w:pPr>
      <w:r>
        <w:t xml:space="preserve">22. Audit und Protokollierung</w:t>
      </w:r>
    </w:p>
    <w:bookmarkStart w:id="128" w:name="auditierte-vorgänge"/>
    <w:p>
      <w:pPr>
        <w:pStyle w:val="Heading2"/>
      </w:pPr>
      <w:r>
        <w:t xml:space="preserve">22.1 Auditierte Vorgänge</w:t>
      </w:r>
    </w:p>
    <w:p>
      <w:pPr>
        <w:pStyle w:val="FirstParagraph"/>
      </w:pPr>
      <w:r>
        <w:t xml:space="preserve">Je nach Modul können insbesondere protokolliert werden:</w:t>
      </w:r>
    </w:p>
    <w:p>
      <w:pPr>
        <w:pStyle w:val="Compact"/>
        <w:numPr>
          <w:ilvl w:val="0"/>
          <w:numId w:val="1055"/>
        </w:numPr>
      </w:pPr>
      <w:r>
        <w:t xml:space="preserve">Punktebuchungen;</w:t>
      </w:r>
    </w:p>
    <w:p>
      <w:pPr>
        <w:pStyle w:val="Compact"/>
        <w:numPr>
          <w:ilvl w:val="0"/>
          <w:numId w:val="1055"/>
        </w:numPr>
      </w:pPr>
      <w:r>
        <w:t xml:space="preserve">Korrekturbuchungen;</w:t>
      </w:r>
    </w:p>
    <w:p>
      <w:pPr>
        <w:pStyle w:val="Compact"/>
        <w:numPr>
          <w:ilvl w:val="0"/>
          <w:numId w:val="1055"/>
        </w:numPr>
      </w:pPr>
      <w:r>
        <w:t xml:space="preserve">Rewardaktivierungen;</w:t>
      </w:r>
    </w:p>
    <w:p>
      <w:pPr>
        <w:pStyle w:val="Compact"/>
        <w:numPr>
          <w:ilvl w:val="0"/>
          <w:numId w:val="1055"/>
        </w:numPr>
      </w:pPr>
      <w:r>
        <w:t xml:space="preserve">Rewardeinlösungen;</w:t>
      </w:r>
    </w:p>
    <w:p>
      <w:pPr>
        <w:pStyle w:val="Compact"/>
        <w:numPr>
          <w:ilvl w:val="0"/>
          <w:numId w:val="1055"/>
        </w:numPr>
      </w:pPr>
      <w:r>
        <w:t xml:space="preserve">Rollenänderungen;</w:t>
      </w:r>
    </w:p>
    <w:p>
      <w:pPr>
        <w:pStyle w:val="Compact"/>
        <w:numPr>
          <w:ilvl w:val="0"/>
          <w:numId w:val="1055"/>
        </w:numPr>
      </w:pPr>
      <w:r>
        <w:t xml:space="preserve">Legal-Acceptances;</w:t>
      </w:r>
    </w:p>
    <w:p>
      <w:pPr>
        <w:pStyle w:val="Compact"/>
        <w:numPr>
          <w:ilvl w:val="0"/>
          <w:numId w:val="1055"/>
        </w:numPr>
      </w:pPr>
      <w:r>
        <w:t xml:space="preserve">Consentänderungen;</w:t>
      </w:r>
    </w:p>
    <w:p>
      <w:pPr>
        <w:pStyle w:val="Compact"/>
        <w:numPr>
          <w:ilvl w:val="0"/>
          <w:numId w:val="1055"/>
        </w:numPr>
      </w:pPr>
      <w:r>
        <w:t xml:space="preserve">Datenschutzanfragen;</w:t>
      </w:r>
    </w:p>
    <w:p>
      <w:pPr>
        <w:pStyle w:val="Compact"/>
        <w:numPr>
          <w:ilvl w:val="0"/>
          <w:numId w:val="1055"/>
        </w:numPr>
      </w:pPr>
      <w:r>
        <w:t xml:space="preserve">Supportzugriffe;</w:t>
      </w:r>
    </w:p>
    <w:p>
      <w:pPr>
        <w:pStyle w:val="Compact"/>
        <w:numPr>
          <w:ilvl w:val="0"/>
          <w:numId w:val="1055"/>
        </w:numPr>
      </w:pPr>
      <w:r>
        <w:t xml:space="preserve">Programmbeendigung;</w:t>
      </w:r>
    </w:p>
    <w:p>
      <w:pPr>
        <w:pStyle w:val="Compact"/>
        <w:numPr>
          <w:ilvl w:val="0"/>
          <w:numId w:val="1055"/>
        </w:numPr>
      </w:pPr>
      <w:r>
        <w:t xml:space="preserve">kritische Adminaktionen.</w:t>
      </w:r>
    </w:p>
    <w:bookmarkEnd w:id="128"/>
    <w:bookmarkStart w:id="129" w:name="zweck-2"/>
    <w:p>
      <w:pPr>
        <w:pStyle w:val="Heading2"/>
      </w:pPr>
      <w:r>
        <w:t xml:space="preserve">22.2 Zweck</w:t>
      </w:r>
    </w:p>
    <w:p>
      <w:pPr>
        <w:pStyle w:val="FirstParagraph"/>
      </w:pPr>
      <w:r>
        <w:t xml:space="preserve">Auditinformationen dienen insbesondere:</w:t>
      </w:r>
    </w:p>
    <w:p>
      <w:pPr>
        <w:pStyle w:val="Compact"/>
        <w:numPr>
          <w:ilvl w:val="0"/>
          <w:numId w:val="1056"/>
        </w:numPr>
      </w:pPr>
      <w:r>
        <w:t xml:space="preserve">Nachvollziehbarkeit;</w:t>
      </w:r>
    </w:p>
    <w:p>
      <w:pPr>
        <w:pStyle w:val="Compact"/>
        <w:numPr>
          <w:ilvl w:val="0"/>
          <w:numId w:val="1056"/>
        </w:numPr>
      </w:pPr>
      <w:r>
        <w:t xml:space="preserve">Sicherheit;</w:t>
      </w:r>
    </w:p>
    <w:p>
      <w:pPr>
        <w:pStyle w:val="Compact"/>
        <w:numPr>
          <w:ilvl w:val="0"/>
          <w:numId w:val="1056"/>
        </w:numPr>
      </w:pPr>
      <w:r>
        <w:t xml:space="preserve">Missbrauchsschutz;</w:t>
      </w:r>
    </w:p>
    <w:p>
      <w:pPr>
        <w:pStyle w:val="Compact"/>
        <w:numPr>
          <w:ilvl w:val="0"/>
          <w:numId w:val="1056"/>
        </w:numPr>
      </w:pPr>
      <w:r>
        <w:t xml:space="preserve">Support;</w:t>
      </w:r>
    </w:p>
    <w:p>
      <w:pPr>
        <w:pStyle w:val="Compact"/>
        <w:numPr>
          <w:ilvl w:val="0"/>
          <w:numId w:val="1056"/>
        </w:numPr>
      </w:pPr>
      <w:r>
        <w:t xml:space="preserve">rechtlichen Nachweisen;</w:t>
      </w:r>
    </w:p>
    <w:p>
      <w:pPr>
        <w:pStyle w:val="Compact"/>
        <w:numPr>
          <w:ilvl w:val="0"/>
          <w:numId w:val="1056"/>
        </w:numPr>
      </w:pPr>
      <w:r>
        <w:t xml:space="preserve">Fehlerdiagnose.</w:t>
      </w:r>
    </w:p>
    <w:bookmarkEnd w:id="129"/>
    <w:bookmarkStart w:id="130" w:name="unveränderbarkeit"/>
    <w:p>
      <w:pPr>
        <w:pStyle w:val="Heading2"/>
      </w:pPr>
      <w:r>
        <w:t xml:space="preserve">22.3 Unveränderbarkeit</w:t>
      </w:r>
    </w:p>
    <w:p>
      <w:pPr>
        <w:pStyle w:val="FirstParagraph"/>
      </w:pPr>
      <w:r>
        <w:t xml:space="preserve">Historische Auditereignisse sollen nicht unprotokolliert verändert oder gelöscht werden.</w:t>
      </w:r>
    </w:p>
    <w:bookmarkEnd w:id="130"/>
    <w:bookmarkStart w:id="131" w:name="keine-vollständige-forensikgarantie"/>
    <w:p>
      <w:pPr>
        <w:pStyle w:val="Heading2"/>
      </w:pPr>
      <w:r>
        <w:t xml:space="preserve">22.4 Keine vollständige Forensikgarantie</w:t>
      </w:r>
    </w:p>
    <w:p>
      <w:pPr>
        <w:pStyle w:val="FirstParagraph"/>
      </w:pPr>
      <w:r>
        <w:t xml:space="preserve">Auditlogs reduzieren Risiken, ersetzen aber kein spezialisiertes externes Forensik- oder SIEM-System, sofern ein solches nicht ausdrücklich vereinbart wurde.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sicherheit-1"/>
    <w:p>
      <w:pPr>
        <w:pStyle w:val="Heading1"/>
      </w:pPr>
      <w:r>
        <w:t xml:space="preserve">23. Sicherheit</w:t>
      </w:r>
    </w:p>
    <w:bookmarkStart w:id="133" w:name="grundmaßnahmen"/>
    <w:p>
      <w:pPr>
        <w:pStyle w:val="Heading2"/>
      </w:pPr>
      <w:r>
        <w:t xml:space="preserve">23.1 Grundmaßnahmen</w:t>
      </w:r>
    </w:p>
    <w:p>
      <w:pPr>
        <w:pStyle w:val="FirstParagraph"/>
      </w:pPr>
      <w:r>
        <w:t xml:space="preserve">Die Plattform verwendet je nach Systemstand insbesondere:</w:t>
      </w:r>
    </w:p>
    <w:p>
      <w:pPr>
        <w:pStyle w:val="Compact"/>
        <w:numPr>
          <w:ilvl w:val="0"/>
          <w:numId w:val="1057"/>
        </w:numPr>
      </w:pPr>
      <w:r>
        <w:t xml:space="preserve">verschlüsselte HTTPS-Verbindungen;</w:t>
      </w:r>
    </w:p>
    <w:p>
      <w:pPr>
        <w:pStyle w:val="Compact"/>
        <w:numPr>
          <w:ilvl w:val="0"/>
          <w:numId w:val="1057"/>
        </w:numPr>
      </w:pPr>
      <w:r>
        <w:t xml:space="preserve">serverseitige Datenbankfunktionen;</w:t>
      </w:r>
    </w:p>
    <w:p>
      <w:pPr>
        <w:pStyle w:val="Compact"/>
        <w:numPr>
          <w:ilvl w:val="0"/>
          <w:numId w:val="1057"/>
        </w:numPr>
      </w:pPr>
      <w:r>
        <w:t xml:space="preserve">Row Level Security;</w:t>
      </w:r>
    </w:p>
    <w:p>
      <w:pPr>
        <w:pStyle w:val="Compact"/>
        <w:numPr>
          <w:ilvl w:val="0"/>
          <w:numId w:val="1057"/>
        </w:numPr>
      </w:pPr>
      <w:r>
        <w:t xml:space="preserve">rollenbasierte Zugriffe;</w:t>
      </w:r>
    </w:p>
    <w:p>
      <w:pPr>
        <w:pStyle w:val="Compact"/>
        <w:numPr>
          <w:ilvl w:val="0"/>
          <w:numId w:val="1057"/>
        </w:numPr>
      </w:pPr>
      <w:r>
        <w:t xml:space="preserve">Rate Limits;</w:t>
      </w:r>
    </w:p>
    <w:p>
      <w:pPr>
        <w:pStyle w:val="Compact"/>
        <w:numPr>
          <w:ilvl w:val="0"/>
          <w:numId w:val="1057"/>
        </w:numPr>
      </w:pPr>
      <w:r>
        <w:t xml:space="preserve">Auditlogs;</w:t>
      </w:r>
    </w:p>
    <w:p>
      <w:pPr>
        <w:pStyle w:val="Compact"/>
        <w:numPr>
          <w:ilvl w:val="0"/>
          <w:numId w:val="1057"/>
        </w:numPr>
      </w:pPr>
      <w:r>
        <w:t xml:space="preserve">getrennte Rollen;</w:t>
      </w:r>
    </w:p>
    <w:p>
      <w:pPr>
        <w:pStyle w:val="Compact"/>
        <w:numPr>
          <w:ilvl w:val="0"/>
          <w:numId w:val="1057"/>
        </w:numPr>
      </w:pPr>
      <w:r>
        <w:t xml:space="preserve">sichere Secrets;</w:t>
      </w:r>
    </w:p>
    <w:p>
      <w:pPr>
        <w:pStyle w:val="Compact"/>
        <w:numPr>
          <w:ilvl w:val="0"/>
          <w:numId w:val="1057"/>
        </w:numPr>
      </w:pPr>
      <w:r>
        <w:t xml:space="preserve">Staging- und Production-Trennung.</w:t>
      </w:r>
    </w:p>
    <w:bookmarkEnd w:id="133"/>
    <w:bookmarkStart w:id="134" w:name="rls"/>
    <w:p>
      <w:pPr>
        <w:pStyle w:val="Heading2"/>
      </w:pPr>
      <w:r>
        <w:t xml:space="preserve">23.2 RLS</w:t>
      </w:r>
    </w:p>
    <w:p>
      <w:pPr>
        <w:pStyle w:val="FirstParagraph"/>
      </w:pPr>
      <w:r>
        <w:t xml:space="preserve">Row Level Security wird zur Mandantentrennung eingesetzt.</w:t>
      </w:r>
    </w:p>
    <w:bookmarkEnd w:id="134"/>
    <w:bookmarkStart w:id="135" w:name="service-role"/>
    <w:p>
      <w:pPr>
        <w:pStyle w:val="Heading2"/>
      </w:pPr>
      <w:r>
        <w:t xml:space="preserve">23.3 Service Role</w:t>
      </w:r>
    </w:p>
    <w:p>
      <w:pPr>
        <w:pStyle w:val="FirstParagraph"/>
      </w:pPr>
      <w:r>
        <w:t xml:space="preserve">Privilegierte technische Schlüssel werden nicht als Bestandteil des normalen Browserclients bereitgestellt.</w:t>
      </w:r>
    </w:p>
    <w:bookmarkEnd w:id="135"/>
    <w:bookmarkStart w:id="136" w:name="sicherheitsgrenzen"/>
    <w:p>
      <w:pPr>
        <w:pStyle w:val="Heading2"/>
      </w:pPr>
      <w:r>
        <w:t xml:space="preserve">23.4 Sicherheitsgrenzen</w:t>
      </w:r>
    </w:p>
    <w:p>
      <w:pPr>
        <w:pStyle w:val="FirstParagraph"/>
      </w:pPr>
      <w:r>
        <w:t xml:space="preserve">Kein IT-System kann absolute Sicherheit garantieren.</w:t>
      </w:r>
    </w:p>
    <w:p>
      <w:pPr>
        <w:pStyle w:val="BodyText"/>
      </w:pPr>
      <w:r>
        <w:t xml:space="preserve">Der Kunde bleibt verantwortlich für:</w:t>
      </w:r>
    </w:p>
    <w:p>
      <w:pPr>
        <w:pStyle w:val="Compact"/>
        <w:numPr>
          <w:ilvl w:val="0"/>
          <w:numId w:val="1058"/>
        </w:numPr>
      </w:pPr>
      <w:r>
        <w:t xml:space="preserve">eigene Endgeräte;</w:t>
      </w:r>
    </w:p>
    <w:p>
      <w:pPr>
        <w:pStyle w:val="Compact"/>
        <w:numPr>
          <w:ilvl w:val="0"/>
          <w:numId w:val="1058"/>
        </w:numPr>
      </w:pPr>
      <w:r>
        <w:t xml:space="preserve">Benutzerzugänge;</w:t>
      </w:r>
    </w:p>
    <w:p>
      <w:pPr>
        <w:pStyle w:val="Compact"/>
        <w:numPr>
          <w:ilvl w:val="0"/>
          <w:numId w:val="1058"/>
        </w:numPr>
      </w:pPr>
      <w:r>
        <w:t xml:space="preserve">interne Mitarbeiterschulung;</w:t>
      </w:r>
    </w:p>
    <w:p>
      <w:pPr>
        <w:pStyle w:val="Compact"/>
        <w:numPr>
          <w:ilvl w:val="0"/>
          <w:numId w:val="1058"/>
        </w:numPr>
      </w:pPr>
      <w:r>
        <w:t xml:space="preserve">sofortige Meldung kompromittierter Konten.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berichte-und-kpis"/>
    <w:p>
      <w:pPr>
        <w:pStyle w:val="Heading1"/>
      </w:pPr>
      <w:r>
        <w:t xml:space="preserve">24. Berichte und KPIs</w:t>
      </w:r>
    </w:p>
    <w:bookmarkStart w:id="138" w:name="dashboard"/>
    <w:p>
      <w:pPr>
        <w:pStyle w:val="Heading2"/>
      </w:pPr>
      <w:r>
        <w:t xml:space="preserve">24.1 Dashboard</w:t>
      </w:r>
    </w:p>
    <w:p>
      <w:pPr>
        <w:pStyle w:val="FirstParagraph"/>
      </w:pPr>
      <w:r>
        <w:t xml:space="preserve">Das Owner-Portal kann unter anderem anzeigen:</w:t>
      </w:r>
    </w:p>
    <w:p>
      <w:pPr>
        <w:pStyle w:val="Compact"/>
        <w:numPr>
          <w:ilvl w:val="0"/>
          <w:numId w:val="1059"/>
        </w:numPr>
      </w:pPr>
      <w:r>
        <w:t xml:space="preserve">Kunden gesamt;</w:t>
      </w:r>
    </w:p>
    <w:p>
      <w:pPr>
        <w:pStyle w:val="Compact"/>
        <w:numPr>
          <w:ilvl w:val="0"/>
          <w:numId w:val="1059"/>
        </w:numPr>
      </w:pPr>
      <w:r>
        <w:t xml:space="preserve">neue Kunden;</w:t>
      </w:r>
    </w:p>
    <w:p>
      <w:pPr>
        <w:pStyle w:val="Compact"/>
        <w:numPr>
          <w:ilvl w:val="0"/>
          <w:numId w:val="1059"/>
        </w:numPr>
      </w:pPr>
      <w:r>
        <w:t xml:space="preserve">aktive Kunden;</w:t>
      </w:r>
    </w:p>
    <w:p>
      <w:pPr>
        <w:pStyle w:val="Compact"/>
        <w:numPr>
          <w:ilvl w:val="0"/>
          <w:numId w:val="1059"/>
        </w:numPr>
      </w:pPr>
      <w:r>
        <w:t xml:space="preserve">Punktebuchungen;</w:t>
      </w:r>
    </w:p>
    <w:p>
      <w:pPr>
        <w:pStyle w:val="Compact"/>
        <w:numPr>
          <w:ilvl w:val="0"/>
          <w:numId w:val="1059"/>
        </w:numPr>
      </w:pPr>
      <w:r>
        <w:t xml:space="preserve">Rewardeinlösungen;</w:t>
      </w:r>
    </w:p>
    <w:p>
      <w:pPr>
        <w:pStyle w:val="Compact"/>
        <w:numPr>
          <w:ilvl w:val="0"/>
          <w:numId w:val="1059"/>
        </w:numPr>
      </w:pPr>
      <w:r>
        <w:t xml:space="preserve">Besuche;</w:t>
      </w:r>
    </w:p>
    <w:p>
      <w:pPr>
        <w:pStyle w:val="Compact"/>
        <w:numPr>
          <w:ilvl w:val="0"/>
          <w:numId w:val="1059"/>
        </w:numPr>
      </w:pPr>
      <w:r>
        <w:t xml:space="preserve">Zeitvergleiche.</w:t>
      </w:r>
    </w:p>
    <w:bookmarkEnd w:id="138"/>
    <w:bookmarkStart w:id="139" w:name="berechnungsgrundlagen"/>
    <w:p>
      <w:pPr>
        <w:pStyle w:val="Heading2"/>
      </w:pPr>
      <w:r>
        <w:t xml:space="preserve">24.2 Berechnungsgrundlagen</w:t>
      </w:r>
    </w:p>
    <w:p>
      <w:pPr>
        <w:pStyle w:val="FirstParagraph"/>
      </w:pPr>
      <w:r>
        <w:t xml:space="preserve">KPI-Werte hängen ab von:</w:t>
      </w:r>
    </w:p>
    <w:p>
      <w:pPr>
        <w:pStyle w:val="Compact"/>
        <w:numPr>
          <w:ilvl w:val="0"/>
          <w:numId w:val="1060"/>
        </w:numPr>
      </w:pPr>
      <w:r>
        <w:t xml:space="preserve">gespeicherten Daten;</w:t>
      </w:r>
    </w:p>
    <w:p>
      <w:pPr>
        <w:pStyle w:val="Compact"/>
        <w:numPr>
          <w:ilvl w:val="0"/>
          <w:numId w:val="1060"/>
        </w:numPr>
      </w:pPr>
      <w:r>
        <w:t xml:space="preserve">Filterung;</w:t>
      </w:r>
    </w:p>
    <w:p>
      <w:pPr>
        <w:pStyle w:val="Compact"/>
        <w:numPr>
          <w:ilvl w:val="0"/>
          <w:numId w:val="1060"/>
        </w:numPr>
      </w:pPr>
      <w:r>
        <w:t xml:space="preserve">Zeitzone;</w:t>
      </w:r>
    </w:p>
    <w:p>
      <w:pPr>
        <w:pStyle w:val="Compact"/>
        <w:numPr>
          <w:ilvl w:val="0"/>
          <w:numId w:val="1060"/>
        </w:numPr>
      </w:pPr>
      <w:r>
        <w:t xml:space="preserve">Ausschluss von Testdaten;</w:t>
      </w:r>
    </w:p>
    <w:p>
      <w:pPr>
        <w:pStyle w:val="Compact"/>
        <w:numPr>
          <w:ilvl w:val="0"/>
          <w:numId w:val="1060"/>
        </w:numPr>
      </w:pPr>
      <w:r>
        <w:t xml:space="preserve">gewähltem Zeitraum.</w:t>
      </w:r>
    </w:p>
    <w:bookmarkEnd w:id="139"/>
    <w:bookmarkStart w:id="140" w:name="keine-buchhaltungsunterlagen"/>
    <w:p>
      <w:pPr>
        <w:pStyle w:val="Heading2"/>
      </w:pPr>
      <w:r>
        <w:t xml:space="preserve">24.3 Keine Buchhaltungsunterlagen</w:t>
      </w:r>
    </w:p>
    <w:p>
      <w:pPr>
        <w:pStyle w:val="FirstParagraph"/>
      </w:pPr>
      <w:r>
        <w:t xml:space="preserve">Dashboard-KPIs sind keine:</w:t>
      </w:r>
    </w:p>
    <w:p>
      <w:pPr>
        <w:pStyle w:val="Compact"/>
        <w:numPr>
          <w:ilvl w:val="0"/>
          <w:numId w:val="1061"/>
        </w:numPr>
      </w:pPr>
      <w:r>
        <w:t xml:space="preserve">geprüfte Buchhaltung;</w:t>
      </w:r>
    </w:p>
    <w:p>
      <w:pPr>
        <w:pStyle w:val="Compact"/>
        <w:numPr>
          <w:ilvl w:val="0"/>
          <w:numId w:val="1061"/>
        </w:numPr>
      </w:pPr>
      <w:r>
        <w:t xml:space="preserve">Steuererklärung;</w:t>
      </w:r>
    </w:p>
    <w:p>
      <w:pPr>
        <w:pStyle w:val="Compact"/>
        <w:numPr>
          <w:ilvl w:val="0"/>
          <w:numId w:val="1061"/>
        </w:numPr>
      </w:pPr>
      <w:r>
        <w:t xml:space="preserve">Jahresabschluss;</w:t>
      </w:r>
    </w:p>
    <w:p>
      <w:pPr>
        <w:pStyle w:val="Compact"/>
        <w:numPr>
          <w:ilvl w:val="0"/>
          <w:numId w:val="1061"/>
        </w:numPr>
      </w:pPr>
      <w:r>
        <w:t xml:space="preserve">verbindliche Umsatzstatistik.</w:t>
      </w:r>
    </w:p>
    <w:bookmarkEnd w:id="140"/>
    <w:bookmarkStart w:id="141" w:name="steuerexport"/>
    <w:p>
      <w:pPr>
        <w:pStyle w:val="Heading2"/>
      </w:pPr>
      <w:r>
        <w:t xml:space="preserve">24.4 Steuerexport</w:t>
      </w:r>
    </w:p>
    <w:p>
      <w:pPr>
        <w:pStyle w:val="FirstParagraph"/>
      </w:pPr>
      <w:r>
        <w:t xml:space="preserve">Ein steuerlicher Reward- oder Buchhaltungsexport ist nur Vertragsleistung, wenn ausdrücklich gebucht und steuerlich spezifiziert.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kommunikation-und-e-mail"/>
    <w:p>
      <w:pPr>
        <w:pStyle w:val="Heading1"/>
      </w:pPr>
      <w:r>
        <w:t xml:space="preserve">25. Kommunikation und E-Mail</w:t>
      </w:r>
    </w:p>
    <w:bookmarkStart w:id="143" w:name="grundsystem"/>
    <w:p>
      <w:pPr>
        <w:pStyle w:val="Heading2"/>
      </w:pPr>
      <w:r>
        <w:t xml:space="preserve">25.1 Grundsystem</w:t>
      </w:r>
    </w:p>
    <w:p>
      <w:pPr>
        <w:pStyle w:val="FirstParagraph"/>
      </w:pPr>
      <w:r>
        <w:t xml:space="preserve">Die Plattform kann Vorlagen und technische Ereignisse für Nachrichten verwalten.</w:t>
      </w:r>
    </w:p>
    <w:bookmarkEnd w:id="143"/>
    <w:bookmarkStart w:id="144" w:name="noch-nicht-automatisch-enthalten"/>
    <w:p>
      <w:pPr>
        <w:pStyle w:val="Heading2"/>
      </w:pPr>
      <w:r>
        <w:t xml:space="preserve">25.2 Noch nicht automatisch enthalten</w:t>
      </w:r>
    </w:p>
    <w:p>
      <w:pPr>
        <w:pStyle w:val="FirstParagraph"/>
      </w:pPr>
      <w:r>
        <w:t xml:space="preserve">Ohne gesondert eingerichtetes Kommunikationsmodul sind insbesondere nicht automatisch geschuldet:</w:t>
      </w:r>
    </w:p>
    <w:p>
      <w:pPr>
        <w:pStyle w:val="Compact"/>
        <w:numPr>
          <w:ilvl w:val="0"/>
          <w:numId w:val="1062"/>
        </w:numPr>
      </w:pPr>
      <w:r>
        <w:t xml:space="preserve">Willkommens-E-Mail;</w:t>
      </w:r>
    </w:p>
    <w:p>
      <w:pPr>
        <w:pStyle w:val="Compact"/>
        <w:numPr>
          <w:ilvl w:val="0"/>
          <w:numId w:val="1062"/>
        </w:numPr>
      </w:pPr>
      <w:r>
        <w:t xml:space="preserve">Punktebestätigung;</w:t>
      </w:r>
    </w:p>
    <w:p>
      <w:pPr>
        <w:pStyle w:val="Compact"/>
        <w:numPr>
          <w:ilvl w:val="0"/>
          <w:numId w:val="1062"/>
        </w:numPr>
      </w:pPr>
      <w:r>
        <w:t xml:space="preserve">Reward-Erinnerung;</w:t>
      </w:r>
    </w:p>
    <w:p>
      <w:pPr>
        <w:pStyle w:val="Compact"/>
        <w:numPr>
          <w:ilvl w:val="0"/>
          <w:numId w:val="1062"/>
        </w:numPr>
      </w:pPr>
      <w:r>
        <w:t xml:space="preserve">Geburtstags-E-Mail;</w:t>
      </w:r>
    </w:p>
    <w:p>
      <w:pPr>
        <w:pStyle w:val="Compact"/>
        <w:numPr>
          <w:ilvl w:val="0"/>
          <w:numId w:val="1062"/>
        </w:numPr>
      </w:pPr>
      <w:r>
        <w:t xml:space="preserve">Punkteverfall-E-Mail;</w:t>
      </w:r>
    </w:p>
    <w:p>
      <w:pPr>
        <w:pStyle w:val="Compact"/>
        <w:numPr>
          <w:ilvl w:val="0"/>
          <w:numId w:val="1062"/>
        </w:numPr>
      </w:pPr>
      <w:r>
        <w:t xml:space="preserve">SMS-Kampagne;</w:t>
      </w:r>
    </w:p>
    <w:p>
      <w:pPr>
        <w:pStyle w:val="Compact"/>
        <w:numPr>
          <w:ilvl w:val="0"/>
          <w:numId w:val="1062"/>
        </w:numPr>
      </w:pPr>
      <w:r>
        <w:t xml:space="preserve">Push-Kampagne;</w:t>
      </w:r>
    </w:p>
    <w:p>
      <w:pPr>
        <w:pStyle w:val="Compact"/>
        <w:numPr>
          <w:ilvl w:val="0"/>
          <w:numId w:val="1062"/>
        </w:numPr>
      </w:pPr>
      <w:r>
        <w:t xml:space="preserve">tägliche Mitarbeiter-E-Mail.</w:t>
      </w:r>
    </w:p>
    <w:bookmarkEnd w:id="144"/>
    <w:bookmarkStart w:id="145" w:name="tages-pin"/>
    <w:p>
      <w:pPr>
        <w:pStyle w:val="Heading2"/>
      </w:pPr>
      <w:r>
        <w:t xml:space="preserve">25.3 Tages-PIN</w:t>
      </w:r>
    </w:p>
    <w:p>
      <w:pPr>
        <w:pStyle w:val="FirstParagraph"/>
      </w:pPr>
      <w:r>
        <w:t xml:space="preserve">Die Tages-PIN soll nicht routinemäßig per E-Mail versendet werden.</w:t>
      </w:r>
    </w:p>
    <w:p>
      <w:pPr>
        <w:pStyle w:val="BodyText"/>
      </w:pPr>
      <w:r>
        <w:t xml:space="preserve">Sie bleibt in der geschützten Mitarbeiteransicht.</w:t>
      </w:r>
    </w:p>
    <w:bookmarkEnd w:id="145"/>
    <w:bookmarkStart w:id="146" w:name="anbieterabhängigkeit"/>
    <w:p>
      <w:pPr>
        <w:pStyle w:val="Heading2"/>
      </w:pPr>
      <w:r>
        <w:t xml:space="preserve">25.4 Anbieterabhängigkeit</w:t>
      </w:r>
    </w:p>
    <w:p>
      <w:pPr>
        <w:pStyle w:val="FirstParagraph"/>
      </w:pPr>
      <w:r>
        <w:t xml:space="preserve">E-Mail, SMS und Push hängen von externen Anbietern, deren Zustellbarkeit und technischen Beschränkungen ab.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zahlungs--und-abrechnungsmodul"/>
    <w:p>
      <w:pPr>
        <w:pStyle w:val="Heading1"/>
      </w:pPr>
      <w:r>
        <w:t xml:space="preserve">26. Zahlungs- und Abrechnungsmodul</w:t>
      </w:r>
    </w:p>
    <w:bookmarkStart w:id="148" w:name="b2b-abrechnung"/>
    <w:p>
      <w:pPr>
        <w:pStyle w:val="Heading2"/>
      </w:pPr>
      <w:r>
        <w:t xml:space="preserve">26.1 B2B-Abrechnung</w:t>
      </w:r>
    </w:p>
    <w:p>
      <w:pPr>
        <w:pStyle w:val="FirstParagraph"/>
      </w:pPr>
      <w:r>
        <w:t xml:space="preserve">WUXUAI kann den SaaS-Vertrag über:</w:t>
      </w:r>
    </w:p>
    <w:p>
      <w:pPr>
        <w:pStyle w:val="Compact"/>
        <w:numPr>
          <w:ilvl w:val="0"/>
          <w:numId w:val="1063"/>
        </w:numPr>
      </w:pPr>
      <w:r>
        <w:t xml:space="preserve">Rechnung;</w:t>
      </w:r>
    </w:p>
    <w:p>
      <w:pPr>
        <w:pStyle w:val="Compact"/>
        <w:numPr>
          <w:ilvl w:val="0"/>
          <w:numId w:val="1063"/>
        </w:numPr>
      </w:pPr>
      <w:r>
        <w:t xml:space="preserve">SEPA;</w:t>
      </w:r>
    </w:p>
    <w:p>
      <w:pPr>
        <w:pStyle w:val="Compact"/>
        <w:numPr>
          <w:ilvl w:val="0"/>
          <w:numId w:val="1063"/>
        </w:numPr>
      </w:pPr>
      <w:r>
        <w:t xml:space="preserve">Karte;</w:t>
      </w:r>
    </w:p>
    <w:p>
      <w:pPr>
        <w:pStyle w:val="Compact"/>
        <w:numPr>
          <w:ilvl w:val="0"/>
          <w:numId w:val="1063"/>
        </w:numPr>
      </w:pPr>
      <w:r>
        <w:t xml:space="preserve">Stripe</w:t>
      </w:r>
    </w:p>
    <w:p>
      <w:pPr>
        <w:pStyle w:val="FirstParagraph"/>
      </w:pPr>
      <w:r>
        <w:t xml:space="preserve">abrechnen.</w:t>
      </w:r>
    </w:p>
    <w:bookmarkEnd w:id="148"/>
    <w:bookmarkStart w:id="149" w:name="noch-nicht-automatisch-vertragsleistung"/>
    <w:p>
      <w:pPr>
        <w:pStyle w:val="Heading2"/>
      </w:pPr>
      <w:r>
        <w:t xml:space="preserve">26.2 Noch nicht automatisch Vertragsleistung</w:t>
      </w:r>
    </w:p>
    <w:p>
      <w:pPr>
        <w:pStyle w:val="FirstParagraph"/>
      </w:pPr>
      <w:r>
        <w:t xml:space="preserve">Stripe Checkout, Subscription Management, Webhooks, automatische Sperrung, Tarifwechsel und Self-Service-Kündigung sind erst Vertragsleistung, wenn sie produktiv implementiert und im Tarif ausdrücklich enthalten sind.</w:t>
      </w:r>
    </w:p>
    <w:bookmarkEnd w:id="149"/>
    <w:bookmarkStart w:id="150" w:name="keine-gastzahlung"/>
    <w:p>
      <w:pPr>
        <w:pStyle w:val="Heading2"/>
      </w:pPr>
      <w:r>
        <w:t xml:space="preserve">26.3 Keine Gastzahlung</w:t>
      </w:r>
    </w:p>
    <w:p>
      <w:pPr>
        <w:pStyle w:val="FirstParagraph"/>
      </w:pPr>
      <w:r>
        <w:t xml:space="preserve">Die Plattform verarbeitet in V1 keine Zahlungen von Gästen an Restaurants.</w:t>
      </w:r>
    </w:p>
    <w:bookmarkEnd w:id="150"/>
    <w:bookmarkStart w:id="151" w:name="kein-prepaid"/>
    <w:p>
      <w:pPr>
        <w:pStyle w:val="Heading2"/>
      </w:pPr>
      <w:r>
        <w:t xml:space="preserve">26.4 Kein Prepaid</w:t>
      </w:r>
    </w:p>
    <w:p>
      <w:pPr>
        <w:pStyle w:val="FirstParagraph"/>
      </w:pPr>
      <w:r>
        <w:t xml:space="preserve">Ein späteres Prepaid- oder Bonusguthabenmodul ist nicht Bestandteil dieser Leistungsbeschreibung.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browser-und-geräte"/>
    <w:p>
      <w:pPr>
        <w:pStyle w:val="Heading1"/>
      </w:pPr>
      <w:r>
        <w:t xml:space="preserve">27. Browser und Geräte</w:t>
      </w:r>
    </w:p>
    <w:bookmarkStart w:id="153" w:name="webanwendung"/>
    <w:p>
      <w:pPr>
        <w:pStyle w:val="Heading2"/>
      </w:pPr>
      <w:r>
        <w:t xml:space="preserve">27.1 Webanwendung</w:t>
      </w:r>
    </w:p>
    <w:p>
      <w:pPr>
        <w:pStyle w:val="FirstParagraph"/>
      </w:pPr>
      <w:r>
        <w:t xml:space="preserve">Die Plattform wird grundsätzlich als responsive Webanwendung beziehungsweise PWA bereitgestellt.</w:t>
      </w:r>
    </w:p>
    <w:bookmarkEnd w:id="153"/>
    <w:bookmarkStart w:id="154" w:name="unterstützte-browser"/>
    <w:p>
      <w:pPr>
        <w:pStyle w:val="Heading2"/>
      </w:pPr>
      <w:r>
        <w:t xml:space="preserve">27.2 Unterstützte Browser</w:t>
      </w:r>
    </w:p>
    <w:p>
      <w:pPr>
        <w:pStyle w:val="FirstParagraph"/>
      </w:pPr>
      <w:r>
        <w:t xml:space="preserve">Die konkrete Browsermatrix wird separat veröffentlicht.</w:t>
      </w:r>
    </w:p>
    <w:p>
      <w:pPr>
        <w:pStyle w:val="BodyText"/>
      </w:pPr>
      <w:r>
        <w:t xml:space="preserve">Vorgesehen sind aktuelle unterstützte Versionen von:</w:t>
      </w:r>
    </w:p>
    <w:p>
      <w:pPr>
        <w:pStyle w:val="Compact"/>
        <w:numPr>
          <w:ilvl w:val="0"/>
          <w:numId w:val="1064"/>
        </w:numPr>
      </w:pPr>
      <w:r>
        <w:t xml:space="preserve">Safari;</w:t>
      </w:r>
    </w:p>
    <w:p>
      <w:pPr>
        <w:pStyle w:val="Compact"/>
        <w:numPr>
          <w:ilvl w:val="0"/>
          <w:numId w:val="1064"/>
        </w:numPr>
      </w:pPr>
      <w:r>
        <w:t xml:space="preserve">Chrome;</w:t>
      </w:r>
    </w:p>
    <w:p>
      <w:pPr>
        <w:pStyle w:val="Compact"/>
        <w:numPr>
          <w:ilvl w:val="0"/>
          <w:numId w:val="1064"/>
        </w:numPr>
      </w:pPr>
      <w:r>
        <w:t xml:space="preserve">Edge;</w:t>
      </w:r>
    </w:p>
    <w:p>
      <w:pPr>
        <w:pStyle w:val="Compact"/>
        <w:numPr>
          <w:ilvl w:val="0"/>
          <w:numId w:val="1064"/>
        </w:numPr>
      </w:pPr>
      <w:r>
        <w:t xml:space="preserve">Firefox.</w:t>
      </w:r>
    </w:p>
    <w:bookmarkEnd w:id="154"/>
    <w:bookmarkStart w:id="155" w:name="veraltete-browser"/>
    <w:p>
      <w:pPr>
        <w:pStyle w:val="Heading2"/>
      </w:pPr>
      <w:r>
        <w:t xml:space="preserve">27.3 Veraltete Browser</w:t>
      </w:r>
    </w:p>
    <w:p>
      <w:pPr>
        <w:pStyle w:val="FirstParagraph"/>
      </w:pPr>
      <w:r>
        <w:t xml:space="preserve">WUXUAI ist nicht verpflichtet, dauerhaft veraltete oder vom Hersteller nicht mehr unterstützte Browser zu unterstützen.</w:t>
      </w:r>
    </w:p>
    <w:bookmarkEnd w:id="155"/>
    <w:bookmarkStart w:id="156" w:name="mobilgeräte"/>
    <w:p>
      <w:pPr>
        <w:pStyle w:val="Heading2"/>
      </w:pPr>
      <w:r>
        <w:t xml:space="preserve">27.4 Mobilgeräte</w:t>
      </w:r>
    </w:p>
    <w:p>
      <w:pPr>
        <w:pStyle w:val="FirstParagraph"/>
      </w:pPr>
      <w:r>
        <w:t xml:space="preserve">Bestimmte Funktionen hängen ab von:</w:t>
      </w:r>
    </w:p>
    <w:p>
      <w:pPr>
        <w:pStyle w:val="Compact"/>
        <w:numPr>
          <w:ilvl w:val="0"/>
          <w:numId w:val="1065"/>
        </w:numPr>
      </w:pPr>
      <w:r>
        <w:t xml:space="preserve">Kamera;</w:t>
      </w:r>
    </w:p>
    <w:p>
      <w:pPr>
        <w:pStyle w:val="Compact"/>
        <w:numPr>
          <w:ilvl w:val="0"/>
          <w:numId w:val="1065"/>
        </w:numPr>
      </w:pPr>
      <w:r>
        <w:t xml:space="preserve">Standort;</w:t>
      </w:r>
    </w:p>
    <w:p>
      <w:pPr>
        <w:pStyle w:val="Compact"/>
        <w:numPr>
          <w:ilvl w:val="0"/>
          <w:numId w:val="1065"/>
        </w:numPr>
      </w:pPr>
      <w:r>
        <w:t xml:space="preserve">Pushsupport;</w:t>
      </w:r>
    </w:p>
    <w:p>
      <w:pPr>
        <w:pStyle w:val="Compact"/>
        <w:numPr>
          <w:ilvl w:val="0"/>
          <w:numId w:val="1065"/>
        </w:numPr>
      </w:pPr>
      <w:r>
        <w:t xml:space="preserve">Betriebssystem;</w:t>
      </w:r>
    </w:p>
    <w:p>
      <w:pPr>
        <w:pStyle w:val="Compact"/>
        <w:numPr>
          <w:ilvl w:val="0"/>
          <w:numId w:val="1065"/>
        </w:numPr>
      </w:pPr>
      <w:r>
        <w:t xml:space="preserve">Browserberechtigung;</w:t>
      </w:r>
    </w:p>
    <w:p>
      <w:pPr>
        <w:pStyle w:val="Compact"/>
        <w:numPr>
          <w:ilvl w:val="0"/>
          <w:numId w:val="1065"/>
        </w:numPr>
      </w:pPr>
      <w:r>
        <w:t xml:space="preserve">Netzverbindung.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barrierefreiheit"/>
    <w:p>
      <w:pPr>
        <w:pStyle w:val="Heading1"/>
      </w:pPr>
      <w:r>
        <w:t xml:space="preserve">28. Barrierefreiheit</w:t>
      </w:r>
    </w:p>
    <w:bookmarkStart w:id="158" w:name="zielstandard"/>
    <w:p>
      <w:pPr>
        <w:pStyle w:val="Heading2"/>
      </w:pPr>
      <w:r>
        <w:t xml:space="preserve">28.1 Zielstandard</w:t>
      </w:r>
    </w:p>
    <w:p>
      <w:pPr>
        <w:pStyle w:val="FirstParagraph"/>
      </w:pPr>
      <w:r>
        <w:t xml:space="preserve">WUXUAI verfolgt WCAG 2.2 Level AA als technischen Zielstandard.</w:t>
      </w:r>
    </w:p>
    <w:bookmarkEnd w:id="158"/>
    <w:bookmarkStart w:id="159" w:name="kernanforderungen"/>
    <w:p>
      <w:pPr>
        <w:pStyle w:val="Heading2"/>
      </w:pPr>
      <w:r>
        <w:t xml:space="preserve">28.2 Kernanforderungen</w:t>
      </w:r>
    </w:p>
    <w:p>
      <w:pPr>
        <w:pStyle w:val="FirstParagraph"/>
      </w:pPr>
      <w:r>
        <w:t xml:space="preserve">Dazu gehören insbesondere:</w:t>
      </w:r>
    </w:p>
    <w:p>
      <w:pPr>
        <w:pStyle w:val="Compact"/>
        <w:numPr>
          <w:ilvl w:val="0"/>
          <w:numId w:val="1066"/>
        </w:numPr>
      </w:pPr>
      <w:r>
        <w:t xml:space="preserve">Tastaturbedienung;</w:t>
      </w:r>
    </w:p>
    <w:p>
      <w:pPr>
        <w:pStyle w:val="Compact"/>
        <w:numPr>
          <w:ilvl w:val="0"/>
          <w:numId w:val="1066"/>
        </w:numPr>
      </w:pPr>
      <w:r>
        <w:t xml:space="preserve">Screenreaderunterstützung;</w:t>
      </w:r>
    </w:p>
    <w:p>
      <w:pPr>
        <w:pStyle w:val="Compact"/>
        <w:numPr>
          <w:ilvl w:val="0"/>
          <w:numId w:val="1066"/>
        </w:numPr>
      </w:pPr>
      <w:r>
        <w:t xml:space="preserve">ausreichende Kontraste;</w:t>
      </w:r>
    </w:p>
    <w:p>
      <w:pPr>
        <w:pStyle w:val="Compact"/>
        <w:numPr>
          <w:ilvl w:val="0"/>
          <w:numId w:val="1066"/>
        </w:numPr>
      </w:pPr>
      <w:r>
        <w:t xml:space="preserve">QR-Alternativen;</w:t>
      </w:r>
    </w:p>
    <w:p>
      <w:pPr>
        <w:pStyle w:val="Compact"/>
        <w:numPr>
          <w:ilvl w:val="0"/>
          <w:numId w:val="1066"/>
        </w:numPr>
      </w:pPr>
      <w:r>
        <w:t xml:space="preserve">Kartenliste;</w:t>
      </w:r>
    </w:p>
    <w:p>
      <w:pPr>
        <w:pStyle w:val="Compact"/>
        <w:numPr>
          <w:ilvl w:val="0"/>
          <w:numId w:val="1066"/>
        </w:numPr>
      </w:pPr>
      <w:r>
        <w:t xml:space="preserve">verständliche Formulare;</w:t>
      </w:r>
    </w:p>
    <w:p>
      <w:pPr>
        <w:pStyle w:val="Compact"/>
        <w:numPr>
          <w:ilvl w:val="0"/>
          <w:numId w:val="1066"/>
        </w:numPr>
      </w:pPr>
      <w:r>
        <w:t xml:space="preserve">sichtbarer Fokus;</w:t>
      </w:r>
    </w:p>
    <w:p>
      <w:pPr>
        <w:pStyle w:val="Compact"/>
        <w:numPr>
          <w:ilvl w:val="0"/>
          <w:numId w:val="1066"/>
        </w:numPr>
      </w:pPr>
      <w:r>
        <w:t xml:space="preserve">skalierbarer Text.</w:t>
      </w:r>
    </w:p>
    <w:bookmarkEnd w:id="159"/>
    <w:bookmarkStart w:id="160" w:name="physische-tests"/>
    <w:p>
      <w:pPr>
        <w:pStyle w:val="Heading2"/>
      </w:pPr>
      <w:r>
        <w:t xml:space="preserve">28.3 Physische Tests</w:t>
      </w:r>
    </w:p>
    <w:p>
      <w:pPr>
        <w:pStyle w:val="FirstParagraph"/>
      </w:pPr>
      <w:r>
        <w:t xml:space="preserve">Eine vollständige Accessibility-Freigabe erfordert zusätzlich reale Tests, insbesondere:</w:t>
      </w:r>
    </w:p>
    <w:p>
      <w:pPr>
        <w:pStyle w:val="Compact"/>
        <w:numPr>
          <w:ilvl w:val="0"/>
          <w:numId w:val="1067"/>
        </w:numPr>
      </w:pPr>
      <w:r>
        <w:t xml:space="preserve">iPhone;</w:t>
      </w:r>
    </w:p>
    <w:p>
      <w:pPr>
        <w:pStyle w:val="Compact"/>
        <w:numPr>
          <w:ilvl w:val="0"/>
          <w:numId w:val="1067"/>
        </w:numPr>
      </w:pPr>
      <w:r>
        <w:t xml:space="preserve">Mobile Safari;</w:t>
      </w:r>
    </w:p>
    <w:p>
      <w:pPr>
        <w:pStyle w:val="Compact"/>
        <w:numPr>
          <w:ilvl w:val="0"/>
          <w:numId w:val="1067"/>
        </w:numPr>
      </w:pPr>
      <w:r>
        <w:t xml:space="preserve">VoiceOver;</w:t>
      </w:r>
    </w:p>
    <w:p>
      <w:pPr>
        <w:pStyle w:val="Compact"/>
        <w:numPr>
          <w:ilvl w:val="0"/>
          <w:numId w:val="1067"/>
        </w:numPr>
      </w:pPr>
      <w:r>
        <w:t xml:space="preserve">Desktop-Screenreader.</w:t>
      </w:r>
    </w:p>
    <w:bookmarkEnd w:id="160"/>
    <w:bookmarkStart w:id="161" w:name="bekannte-einschränkungen"/>
    <w:p>
      <w:pPr>
        <w:pStyle w:val="Heading2"/>
      </w:pPr>
      <w:r>
        <w:t xml:space="preserve">28.4 Bekannte Einschränkungen</w:t>
      </w:r>
    </w:p>
    <w:p>
      <w:pPr>
        <w:pStyle w:val="FirstParagraph"/>
      </w:pPr>
      <w:r>
        <w:t xml:space="preserve">Bekannte Einschränkungen müssen in der öffentlichen Barrierefreiheitsinformation dokumentiert werden.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datenimport-und-migration"/>
    <w:p>
      <w:pPr>
        <w:pStyle w:val="Heading1"/>
      </w:pPr>
      <w:r>
        <w:t xml:space="preserve">29. Datenimport und Migration</w:t>
      </w:r>
    </w:p>
    <w:bookmarkStart w:id="163" w:name="standardumfang"/>
    <w:p>
      <w:pPr>
        <w:pStyle w:val="Heading2"/>
      </w:pPr>
      <w:r>
        <w:t xml:space="preserve">29.1 Standardumfang</w:t>
      </w:r>
    </w:p>
    <w:p>
      <w:pPr>
        <w:pStyle w:val="FirstParagraph"/>
      </w:pPr>
      <w:r>
        <w:t xml:space="preserve">Ein Datenimport aus fremden Bonus- oder Kassensystemen ist nicht automatisch enthalten.</w:t>
      </w:r>
    </w:p>
    <w:bookmarkEnd w:id="163"/>
    <w:bookmarkStart w:id="164" w:name="gesonderte-vereinbarung"/>
    <w:p>
      <w:pPr>
        <w:pStyle w:val="Heading2"/>
      </w:pPr>
      <w:r>
        <w:t xml:space="preserve">29.2 Gesonderte Vereinbarung</w:t>
      </w:r>
    </w:p>
    <w:p>
      <w:pPr>
        <w:pStyle w:val="FirstParagraph"/>
      </w:pPr>
      <w:r>
        <w:t xml:space="preserve">Importleistungen benötigen insbesondere:</w:t>
      </w:r>
    </w:p>
    <w:p>
      <w:pPr>
        <w:pStyle w:val="Compact"/>
        <w:numPr>
          <w:ilvl w:val="0"/>
          <w:numId w:val="1068"/>
        </w:numPr>
      </w:pPr>
      <w:r>
        <w:t xml:space="preserve">Datenformat;</w:t>
      </w:r>
    </w:p>
    <w:p>
      <w:pPr>
        <w:pStyle w:val="Compact"/>
        <w:numPr>
          <w:ilvl w:val="0"/>
          <w:numId w:val="1068"/>
        </w:numPr>
      </w:pPr>
      <w:r>
        <w:t xml:space="preserve">Datenqualität;</w:t>
      </w:r>
    </w:p>
    <w:p>
      <w:pPr>
        <w:pStyle w:val="Compact"/>
        <w:numPr>
          <w:ilvl w:val="0"/>
          <w:numId w:val="1068"/>
        </w:numPr>
      </w:pPr>
      <w:r>
        <w:t xml:space="preserve">Rechtsgrundlage;</w:t>
      </w:r>
    </w:p>
    <w:p>
      <w:pPr>
        <w:pStyle w:val="Compact"/>
        <w:numPr>
          <w:ilvl w:val="0"/>
          <w:numId w:val="1068"/>
        </w:numPr>
      </w:pPr>
      <w:r>
        <w:t xml:space="preserve">Zuordnung;</w:t>
      </w:r>
    </w:p>
    <w:p>
      <w:pPr>
        <w:pStyle w:val="Compact"/>
        <w:numPr>
          <w:ilvl w:val="0"/>
          <w:numId w:val="1068"/>
        </w:numPr>
      </w:pPr>
      <w:r>
        <w:t xml:space="preserve">Dublettenregeln;</w:t>
      </w:r>
    </w:p>
    <w:p>
      <w:pPr>
        <w:pStyle w:val="Compact"/>
        <w:numPr>
          <w:ilvl w:val="0"/>
          <w:numId w:val="1068"/>
        </w:numPr>
      </w:pPr>
      <w:r>
        <w:t xml:space="preserve">Testlauf;</w:t>
      </w:r>
    </w:p>
    <w:p>
      <w:pPr>
        <w:pStyle w:val="Compact"/>
        <w:numPr>
          <w:ilvl w:val="0"/>
          <w:numId w:val="1068"/>
        </w:numPr>
      </w:pPr>
      <w:r>
        <w:t xml:space="preserve">Abnahme.</w:t>
      </w:r>
    </w:p>
    <w:bookmarkEnd w:id="164"/>
    <w:bookmarkStart w:id="165" w:name="verantwortung-des-kunden"/>
    <w:p>
      <w:pPr>
        <w:pStyle w:val="Heading2"/>
      </w:pPr>
      <w:r>
        <w:t xml:space="preserve">29.3 Verantwortung des Kunden</w:t>
      </w:r>
    </w:p>
    <w:p>
      <w:pPr>
        <w:pStyle w:val="FirstParagraph"/>
      </w:pPr>
      <w:r>
        <w:t xml:space="preserve">Der Kunde gewährleistet, dass importierte Daten rechtmäßig erhoben und an WUXUAI übermittelt werden dürfen.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schnittstellen"/>
    <w:p>
      <w:pPr>
        <w:pStyle w:val="Heading1"/>
      </w:pPr>
      <w:r>
        <w:t xml:space="preserve">30. Schnittstellen</w:t>
      </w:r>
    </w:p>
    <w:bookmarkStart w:id="167" w:name="standard-api"/>
    <w:p>
      <w:pPr>
        <w:pStyle w:val="Heading2"/>
      </w:pPr>
      <w:r>
        <w:t xml:space="preserve">30.1 Standard-API</w:t>
      </w:r>
    </w:p>
    <w:p>
      <w:pPr>
        <w:pStyle w:val="FirstParagraph"/>
      </w:pPr>
      <w:r>
        <w:t xml:space="preserve">Eine öffentliche Kunden-API ist nur enthalten, wenn dies im Tarif ausdrücklich angegeben ist.</w:t>
      </w:r>
    </w:p>
    <w:bookmarkEnd w:id="167"/>
    <w:bookmarkStart w:id="168" w:name="individuelle-integrationen"/>
    <w:p>
      <w:pPr>
        <w:pStyle w:val="Heading2"/>
      </w:pPr>
      <w:r>
        <w:t xml:space="preserve">30.2 Individuelle Integrationen</w:t>
      </w:r>
    </w:p>
    <w:p>
      <w:pPr>
        <w:pStyle w:val="FirstParagraph"/>
      </w:pPr>
      <w:r>
        <w:t xml:space="preserve">Integrationen mit:</w:t>
      </w:r>
    </w:p>
    <w:p>
      <w:pPr>
        <w:pStyle w:val="Compact"/>
        <w:numPr>
          <w:ilvl w:val="0"/>
          <w:numId w:val="1069"/>
        </w:numPr>
      </w:pPr>
      <w:r>
        <w:t xml:space="preserve">Kassensystemen;</w:t>
      </w:r>
    </w:p>
    <w:p>
      <w:pPr>
        <w:pStyle w:val="Compact"/>
        <w:numPr>
          <w:ilvl w:val="0"/>
          <w:numId w:val="1069"/>
        </w:numPr>
      </w:pPr>
      <w:r>
        <w:t xml:space="preserve">Buchhaltung;</w:t>
      </w:r>
    </w:p>
    <w:p>
      <w:pPr>
        <w:pStyle w:val="Compact"/>
        <w:numPr>
          <w:ilvl w:val="0"/>
          <w:numId w:val="1069"/>
        </w:numPr>
      </w:pPr>
      <w:r>
        <w:t xml:space="preserve">CRM;</w:t>
      </w:r>
    </w:p>
    <w:p>
      <w:pPr>
        <w:pStyle w:val="Compact"/>
        <w:numPr>
          <w:ilvl w:val="0"/>
          <w:numId w:val="1069"/>
        </w:numPr>
      </w:pPr>
      <w:r>
        <w:t xml:space="preserve">Reservierungssystemen;</w:t>
      </w:r>
    </w:p>
    <w:p>
      <w:pPr>
        <w:pStyle w:val="Compact"/>
        <w:numPr>
          <w:ilvl w:val="0"/>
          <w:numId w:val="1069"/>
        </w:numPr>
      </w:pPr>
      <w:r>
        <w:t xml:space="preserve">externen Marketingdiensten</w:t>
      </w:r>
    </w:p>
    <w:p>
      <w:pPr>
        <w:pStyle w:val="FirstParagraph"/>
      </w:pPr>
      <w:r>
        <w:t xml:space="preserve">bedürfen einer gesonderten Vereinbarung.</w:t>
      </w:r>
    </w:p>
    <w:bookmarkEnd w:id="168"/>
    <w:bookmarkStart w:id="169" w:name="änderung-externer-schnittstellen"/>
    <w:p>
      <w:pPr>
        <w:pStyle w:val="Heading2"/>
      </w:pPr>
      <w:r>
        <w:t xml:space="preserve">30.3 Änderung externer Schnittstellen</w:t>
      </w:r>
    </w:p>
    <w:p>
      <w:pPr>
        <w:pStyle w:val="FirstParagraph"/>
      </w:pPr>
      <w:r>
        <w:t xml:space="preserve">WUXUAI haftet nicht für Änderungen fremder APIs außerhalb des eigenen Einflussbereichs, wird aber zumutbare Anpassungen nach dem vereinbarten Leistungsumfang prüfen.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backup-und-wiederherstellung"/>
    <w:p>
      <w:pPr>
        <w:pStyle w:val="Heading1"/>
      </w:pPr>
      <w:r>
        <w:t xml:space="preserve">31. Backup und Wiederherstellung</w:t>
      </w:r>
    </w:p>
    <w:bookmarkStart w:id="171" w:name="grundsatz"/>
    <w:p>
      <w:pPr>
        <w:pStyle w:val="Heading2"/>
      </w:pPr>
      <w:r>
        <w:t xml:space="preserve">31.1 Grundsatz</w:t>
      </w:r>
    </w:p>
    <w:p>
      <w:pPr>
        <w:pStyle w:val="FirstParagraph"/>
      </w:pPr>
      <w:r>
        <w:t xml:space="preserve">WUXUAI beziehungsweise seine Infrastrukturpartner führen Backups nach dem vereinbarten technischen Betriebskonzept durch.</w:t>
      </w:r>
    </w:p>
    <w:bookmarkEnd w:id="171"/>
    <w:bookmarkStart w:id="172" w:name="umfang"/>
    <w:p>
      <w:pPr>
        <w:pStyle w:val="Heading2"/>
      </w:pPr>
      <w:r>
        <w:t xml:space="preserve">31.2 Umfang</w:t>
      </w:r>
    </w:p>
    <w:p>
      <w:pPr>
        <w:pStyle w:val="FirstParagraph"/>
      </w:pPr>
      <w:r>
        <w:t xml:space="preserve">Die konkrete Backupfrequenz, Aufbewahrung und Wiederherstellungsziele ergeben sich aus:</w:t>
      </w:r>
    </w:p>
    <w:p>
      <w:pPr>
        <w:pStyle w:val="Compact"/>
        <w:numPr>
          <w:ilvl w:val="0"/>
          <w:numId w:val="1070"/>
        </w:numPr>
      </w:pPr>
      <w:r>
        <w:t xml:space="preserve">SLA;</w:t>
      </w:r>
    </w:p>
    <w:p>
      <w:pPr>
        <w:pStyle w:val="Compact"/>
        <w:numPr>
          <w:ilvl w:val="0"/>
          <w:numId w:val="1070"/>
        </w:numPr>
      </w:pPr>
      <w:r>
        <w:t xml:space="preserve">TOMs;</w:t>
      </w:r>
    </w:p>
    <w:p>
      <w:pPr>
        <w:pStyle w:val="Compact"/>
        <w:numPr>
          <w:ilvl w:val="0"/>
          <w:numId w:val="1070"/>
        </w:numPr>
      </w:pPr>
      <w:r>
        <w:t xml:space="preserve">gebuchtem Tarif;</w:t>
      </w:r>
    </w:p>
    <w:p>
      <w:pPr>
        <w:pStyle w:val="Compact"/>
        <w:numPr>
          <w:ilvl w:val="0"/>
          <w:numId w:val="1070"/>
        </w:numPr>
      </w:pPr>
      <w:r>
        <w:t xml:space="preserve">Infrastrukturkonfiguration.</w:t>
      </w:r>
    </w:p>
    <w:bookmarkEnd w:id="172"/>
    <w:bookmarkStart w:id="173" w:name="kein-einzeldateispeicher"/>
    <w:p>
      <w:pPr>
        <w:pStyle w:val="Heading2"/>
      </w:pPr>
      <w:r>
        <w:t xml:space="preserve">31.3 Kein Einzeldateispeicher</w:t>
      </w:r>
    </w:p>
    <w:p>
      <w:pPr>
        <w:pStyle w:val="FirstParagraph"/>
      </w:pPr>
      <w:r>
        <w:t xml:space="preserve">Die Plattform ist kein allgemeiner Dokumenten- oder Archivspeicher.</w:t>
      </w:r>
    </w:p>
    <w:bookmarkEnd w:id="173"/>
    <w:bookmarkStart w:id="174" w:name="wiederherstellung"/>
    <w:p>
      <w:pPr>
        <w:pStyle w:val="Heading2"/>
      </w:pPr>
      <w:r>
        <w:t xml:space="preserve">31.4 Wiederherstellung</w:t>
      </w:r>
    </w:p>
    <w:p>
      <w:pPr>
        <w:pStyle w:val="FirstParagraph"/>
      </w:pPr>
      <w:r>
        <w:t xml:space="preserve">Ein Restore kann:</w:t>
      </w:r>
    </w:p>
    <w:p>
      <w:pPr>
        <w:pStyle w:val="Compact"/>
        <w:numPr>
          <w:ilvl w:val="0"/>
          <w:numId w:val="1071"/>
        </w:numPr>
      </w:pPr>
      <w:r>
        <w:t xml:space="preserve">technische Prüfung;</w:t>
      </w:r>
    </w:p>
    <w:p>
      <w:pPr>
        <w:pStyle w:val="Compact"/>
        <w:numPr>
          <w:ilvl w:val="0"/>
          <w:numId w:val="1071"/>
        </w:numPr>
      </w:pPr>
      <w:r>
        <w:t xml:space="preserve">Zeit;</w:t>
      </w:r>
    </w:p>
    <w:p>
      <w:pPr>
        <w:pStyle w:val="Compact"/>
        <w:numPr>
          <w:ilvl w:val="0"/>
          <w:numId w:val="1071"/>
        </w:numPr>
      </w:pPr>
      <w:r>
        <w:t xml:space="preserve">Nachlauf von Löschjobs;</w:t>
      </w:r>
    </w:p>
    <w:p>
      <w:pPr>
        <w:pStyle w:val="Compact"/>
        <w:numPr>
          <w:ilvl w:val="0"/>
          <w:numId w:val="1071"/>
        </w:numPr>
      </w:pPr>
      <w:r>
        <w:t xml:space="preserve">erneute Cacheinvalidierung</w:t>
      </w:r>
    </w:p>
    <w:p>
      <w:pPr>
        <w:pStyle w:val="FirstParagraph"/>
      </w:pPr>
      <w:r>
        <w:t xml:space="preserve">erfordern.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wartung-und-releases"/>
    <w:p>
      <w:pPr>
        <w:pStyle w:val="Heading1"/>
      </w:pPr>
      <w:r>
        <w:t xml:space="preserve">32. Wartung und Releases</w:t>
      </w:r>
    </w:p>
    <w:bookmarkStart w:id="176" w:name="updates"/>
    <w:p>
      <w:pPr>
        <w:pStyle w:val="Heading2"/>
      </w:pPr>
      <w:r>
        <w:t xml:space="preserve">32.1 Updates</w:t>
      </w:r>
    </w:p>
    <w:p>
      <w:pPr>
        <w:pStyle w:val="FirstParagraph"/>
      </w:pPr>
      <w:r>
        <w:t xml:space="preserve">WUXUAI kann insbesondere bereitstellen:</w:t>
      </w:r>
    </w:p>
    <w:p>
      <w:pPr>
        <w:pStyle w:val="Compact"/>
        <w:numPr>
          <w:ilvl w:val="0"/>
          <w:numId w:val="1072"/>
        </w:numPr>
      </w:pPr>
      <w:r>
        <w:t xml:space="preserve">Fehlerkorrekturen;</w:t>
      </w:r>
    </w:p>
    <w:p>
      <w:pPr>
        <w:pStyle w:val="Compact"/>
        <w:numPr>
          <w:ilvl w:val="0"/>
          <w:numId w:val="1072"/>
        </w:numPr>
      </w:pPr>
      <w:r>
        <w:t xml:space="preserve">Sicherheitsupdates;</w:t>
      </w:r>
    </w:p>
    <w:p>
      <w:pPr>
        <w:pStyle w:val="Compact"/>
        <w:numPr>
          <w:ilvl w:val="0"/>
          <w:numId w:val="1072"/>
        </w:numPr>
      </w:pPr>
      <w:r>
        <w:t xml:space="preserve">Funktionsverbesserungen;</w:t>
      </w:r>
    </w:p>
    <w:p>
      <w:pPr>
        <w:pStyle w:val="Compact"/>
        <w:numPr>
          <w:ilvl w:val="0"/>
          <w:numId w:val="1072"/>
        </w:numPr>
      </w:pPr>
      <w:r>
        <w:t xml:space="preserve">gesetzlich erforderliche Anpassungen;</w:t>
      </w:r>
    </w:p>
    <w:p>
      <w:pPr>
        <w:pStyle w:val="Compact"/>
        <w:numPr>
          <w:ilvl w:val="0"/>
          <w:numId w:val="1072"/>
        </w:numPr>
      </w:pPr>
      <w:r>
        <w:t xml:space="preserve">Designverbesserungen.</w:t>
      </w:r>
    </w:p>
    <w:bookmarkEnd w:id="176"/>
    <w:bookmarkStart w:id="177" w:name="wartungsfenster"/>
    <w:p>
      <w:pPr>
        <w:pStyle w:val="Heading2"/>
      </w:pPr>
      <w:r>
        <w:t xml:space="preserve">32.2 Wartungsfenster</w:t>
      </w:r>
    </w:p>
    <w:p>
      <w:pPr>
        <w:pStyle w:val="FirstParagraph"/>
      </w:pPr>
      <w:r>
        <w:t xml:space="preserve">Geplante Wartungsfenster werden in den Support- und Service-Level-Bedingungen geregelt.</w:t>
      </w:r>
    </w:p>
    <w:bookmarkEnd w:id="177"/>
    <w:bookmarkStart w:id="178" w:name="notfallmaßnahmen"/>
    <w:p>
      <w:pPr>
        <w:pStyle w:val="Heading2"/>
      </w:pPr>
      <w:r>
        <w:t xml:space="preserve">32.3 Notfallmaßnahmen</w:t>
      </w:r>
    </w:p>
    <w:p>
      <w:pPr>
        <w:pStyle w:val="FirstParagraph"/>
      </w:pPr>
      <w:r>
        <w:t xml:space="preserve">Sicherheitskritische Maßnahmen dürfen ohne reguläre Vorankündigung durchgeführt werden.</w:t>
      </w:r>
    </w:p>
    <w:bookmarkEnd w:id="178"/>
    <w:bookmarkStart w:id="179" w:name="migrationen"/>
    <w:p>
      <w:pPr>
        <w:pStyle w:val="Heading2"/>
      </w:pPr>
      <w:r>
        <w:t xml:space="preserve">32.4 Migrationen</w:t>
      </w:r>
    </w:p>
    <w:p>
      <w:pPr>
        <w:pStyle w:val="FirstParagraph"/>
      </w:pPr>
      <w:r>
        <w:t xml:space="preserve">Datenbankmigrationen werden nach einem kontrollierten Prozess auf Staging und anschließend Production angewendet.</w:t>
      </w:r>
    </w:p>
    <w:p>
      <w:pPr>
        <w:pStyle w:val="BodyText"/>
      </w:pPr>
      <w:r>
        <w:t xml:space="preserve">Eine manuelle oder automatische Deployment-Pipeline wird in der technischen Betriebsbeschreibung definiert.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support"/>
    <w:p>
      <w:pPr>
        <w:pStyle w:val="Heading1"/>
      </w:pPr>
      <w:r>
        <w:t xml:space="preserve">33. Support</w:t>
      </w:r>
    </w:p>
    <w:bookmarkStart w:id="181" w:name="standardsupport"/>
    <w:p>
      <w:pPr>
        <w:pStyle w:val="Heading2"/>
      </w:pPr>
      <w:r>
        <w:t xml:space="preserve">33.1 Standardsupport</w:t>
      </w:r>
    </w:p>
    <w:p>
      <w:pPr>
        <w:pStyle w:val="FirstParagraph"/>
      </w:pPr>
      <w:r>
        <w:t xml:space="preserve">Der Standardsupport kann umfassen:</w:t>
      </w:r>
    </w:p>
    <w:p>
      <w:pPr>
        <w:pStyle w:val="Compact"/>
        <w:numPr>
          <w:ilvl w:val="0"/>
          <w:numId w:val="1073"/>
        </w:numPr>
      </w:pPr>
      <w:r>
        <w:t xml:space="preserve">technische Fragen;</w:t>
      </w:r>
    </w:p>
    <w:p>
      <w:pPr>
        <w:pStyle w:val="Compact"/>
        <w:numPr>
          <w:ilvl w:val="0"/>
          <w:numId w:val="1073"/>
        </w:numPr>
      </w:pPr>
      <w:r>
        <w:t xml:space="preserve">Fehleranalyse;</w:t>
      </w:r>
    </w:p>
    <w:p>
      <w:pPr>
        <w:pStyle w:val="Compact"/>
        <w:numPr>
          <w:ilvl w:val="0"/>
          <w:numId w:val="1073"/>
        </w:numPr>
      </w:pPr>
      <w:r>
        <w:t xml:space="preserve">Bedienungsunterstützung;</w:t>
      </w:r>
    </w:p>
    <w:p>
      <w:pPr>
        <w:pStyle w:val="Compact"/>
        <w:numPr>
          <w:ilvl w:val="0"/>
          <w:numId w:val="1073"/>
        </w:numPr>
      </w:pPr>
      <w:r>
        <w:t xml:space="preserve">Kontozugriffsprobleme;</w:t>
      </w:r>
    </w:p>
    <w:p>
      <w:pPr>
        <w:pStyle w:val="Compact"/>
        <w:numPr>
          <w:ilvl w:val="0"/>
          <w:numId w:val="1073"/>
        </w:numPr>
      </w:pPr>
      <w:r>
        <w:t xml:space="preserve">Eskalation kritischer Vorfälle.</w:t>
      </w:r>
    </w:p>
    <w:bookmarkEnd w:id="181"/>
    <w:bookmarkStart w:id="182" w:name="schulung"/>
    <w:p>
      <w:pPr>
        <w:pStyle w:val="Heading2"/>
      </w:pPr>
      <w:r>
        <w:t xml:space="preserve">33.2 Schulung</w:t>
      </w:r>
    </w:p>
    <w:p>
      <w:pPr>
        <w:pStyle w:val="FirstParagraph"/>
      </w:pPr>
      <w:r>
        <w:t xml:space="preserve">Folgende Leistungen sind nur enthalten, wenn ausdrücklich vereinbart:</w:t>
      </w:r>
    </w:p>
    <w:p>
      <w:pPr>
        <w:pStyle w:val="Compact"/>
        <w:numPr>
          <w:ilvl w:val="0"/>
          <w:numId w:val="1074"/>
        </w:numPr>
      </w:pPr>
      <w:r>
        <w:t xml:space="preserve">Vor-Ort-Schulung;</w:t>
      </w:r>
    </w:p>
    <w:p>
      <w:pPr>
        <w:pStyle w:val="Compact"/>
        <w:numPr>
          <w:ilvl w:val="0"/>
          <w:numId w:val="1074"/>
        </w:numPr>
      </w:pPr>
      <w:r>
        <w:t xml:space="preserve">Videoschulung;</w:t>
      </w:r>
    </w:p>
    <w:p>
      <w:pPr>
        <w:pStyle w:val="Compact"/>
        <w:numPr>
          <w:ilvl w:val="0"/>
          <w:numId w:val="1074"/>
        </w:numPr>
      </w:pPr>
      <w:r>
        <w:t xml:space="preserve">individuelle Mitarbeiterhandbücher;</w:t>
      </w:r>
    </w:p>
    <w:p>
      <w:pPr>
        <w:pStyle w:val="Compact"/>
        <w:numPr>
          <w:ilvl w:val="0"/>
          <w:numId w:val="1074"/>
        </w:numPr>
      </w:pPr>
      <w:r>
        <w:t xml:space="preserve">Filial-Rollout-Begleitung;</w:t>
      </w:r>
    </w:p>
    <w:p>
      <w:pPr>
        <w:pStyle w:val="Compact"/>
        <w:numPr>
          <w:ilvl w:val="0"/>
          <w:numId w:val="1074"/>
        </w:numPr>
      </w:pPr>
      <w:r>
        <w:t xml:space="preserve">Kampagnenberatung;</w:t>
      </w:r>
    </w:p>
    <w:p>
      <w:pPr>
        <w:pStyle w:val="Compact"/>
        <w:numPr>
          <w:ilvl w:val="0"/>
          <w:numId w:val="1074"/>
        </w:numPr>
      </w:pPr>
      <w:r>
        <w:t xml:space="preserve">individuelle Bonusstrategie.</w:t>
      </w:r>
    </w:p>
    <w:bookmarkEnd w:id="182"/>
    <w:bookmarkStart w:id="183" w:name="keine-rechtsberatung"/>
    <w:p>
      <w:pPr>
        <w:pStyle w:val="Heading2"/>
      </w:pPr>
      <w:r>
        <w:t xml:space="preserve">33.3 Keine Rechtsberatung</w:t>
      </w:r>
    </w:p>
    <w:p>
      <w:pPr>
        <w:pStyle w:val="FirstParagraph"/>
      </w:pPr>
      <w:r>
        <w:t xml:space="preserve">Supportmitarbeiter geben keine verbindliche Rechts- oder Steuerberatung.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nicht-geschuldete-leistungen"/>
    <w:p>
      <w:pPr>
        <w:pStyle w:val="Heading1"/>
      </w:pPr>
      <w:r>
        <w:t xml:space="preserve">34. Nicht geschuldete Leistungen</w:t>
      </w:r>
    </w:p>
    <w:p>
      <w:pPr>
        <w:pStyle w:val="FirstParagraph"/>
      </w:pPr>
      <w:r>
        <w:t xml:space="preserve">Sofern nicht ausdrücklich vereinbart, schuldet WUXUAI insbesondere nicht:</w:t>
      </w:r>
    </w:p>
    <w:p>
      <w:pPr>
        <w:pStyle w:val="Compact"/>
        <w:numPr>
          <w:ilvl w:val="0"/>
          <w:numId w:val="1075"/>
        </w:numPr>
      </w:pPr>
      <w:r>
        <w:t xml:space="preserve">individuelle Softwareentwicklung;</w:t>
      </w:r>
    </w:p>
    <w:p>
      <w:pPr>
        <w:pStyle w:val="Compact"/>
        <w:numPr>
          <w:ilvl w:val="0"/>
          <w:numId w:val="1075"/>
        </w:numPr>
      </w:pPr>
      <w:r>
        <w:t xml:space="preserve">Kassensystemintegration;</w:t>
      </w:r>
    </w:p>
    <w:p>
      <w:pPr>
        <w:pStyle w:val="Compact"/>
        <w:numPr>
          <w:ilvl w:val="0"/>
          <w:numId w:val="1075"/>
        </w:numPr>
      </w:pPr>
      <w:r>
        <w:t xml:space="preserve">vollständige Restaurantwebsite;</w:t>
      </w:r>
    </w:p>
    <w:p>
      <w:pPr>
        <w:pStyle w:val="Compact"/>
        <w:numPr>
          <w:ilvl w:val="0"/>
          <w:numId w:val="1075"/>
        </w:numPr>
      </w:pPr>
      <w:r>
        <w:t xml:space="preserve">Restaurantreservierung;</w:t>
      </w:r>
    </w:p>
    <w:p>
      <w:pPr>
        <w:pStyle w:val="Compact"/>
        <w:numPr>
          <w:ilvl w:val="0"/>
          <w:numId w:val="1075"/>
        </w:numPr>
      </w:pPr>
      <w:r>
        <w:t xml:space="preserve">Lieferdienst;</w:t>
      </w:r>
    </w:p>
    <w:p>
      <w:pPr>
        <w:pStyle w:val="Compact"/>
        <w:numPr>
          <w:ilvl w:val="0"/>
          <w:numId w:val="1075"/>
        </w:numPr>
      </w:pPr>
      <w:r>
        <w:t xml:space="preserve">Gastzahlung;</w:t>
      </w:r>
    </w:p>
    <w:p>
      <w:pPr>
        <w:pStyle w:val="Compact"/>
        <w:numPr>
          <w:ilvl w:val="0"/>
          <w:numId w:val="1075"/>
        </w:numPr>
      </w:pPr>
      <w:r>
        <w:t xml:space="preserve">Gutscheinverkauf;</w:t>
      </w:r>
    </w:p>
    <w:p>
      <w:pPr>
        <w:pStyle w:val="Compact"/>
        <w:numPr>
          <w:ilvl w:val="0"/>
          <w:numId w:val="1075"/>
        </w:numPr>
      </w:pPr>
      <w:r>
        <w:t xml:space="preserve">Prepaidkonto;</w:t>
      </w:r>
    </w:p>
    <w:p>
      <w:pPr>
        <w:pStyle w:val="Compact"/>
        <w:numPr>
          <w:ilvl w:val="0"/>
          <w:numId w:val="1075"/>
        </w:numPr>
      </w:pPr>
      <w:r>
        <w:t xml:space="preserve">Buchhaltung;</w:t>
      </w:r>
    </w:p>
    <w:p>
      <w:pPr>
        <w:pStyle w:val="Compact"/>
        <w:numPr>
          <w:ilvl w:val="0"/>
          <w:numId w:val="1075"/>
        </w:numPr>
      </w:pPr>
      <w:r>
        <w:t xml:space="preserve">Steuerberechnung;</w:t>
      </w:r>
    </w:p>
    <w:p>
      <w:pPr>
        <w:pStyle w:val="Compact"/>
        <w:numPr>
          <w:ilvl w:val="0"/>
          <w:numId w:val="1075"/>
        </w:numPr>
      </w:pPr>
      <w:r>
        <w:t xml:space="preserve">Rechtsberatung;</w:t>
      </w:r>
    </w:p>
    <w:p>
      <w:pPr>
        <w:pStyle w:val="Compact"/>
        <w:numPr>
          <w:ilvl w:val="0"/>
          <w:numId w:val="1075"/>
        </w:numPr>
      </w:pPr>
      <w:r>
        <w:t xml:space="preserve">Mitarbeiterhardware;</w:t>
      </w:r>
    </w:p>
    <w:p>
      <w:pPr>
        <w:pStyle w:val="Compact"/>
        <w:numPr>
          <w:ilvl w:val="0"/>
          <w:numId w:val="1075"/>
        </w:numPr>
      </w:pPr>
      <w:r>
        <w:t xml:space="preserve">Internetzugang im Restaurant;</w:t>
      </w:r>
    </w:p>
    <w:p>
      <w:pPr>
        <w:pStyle w:val="Compact"/>
        <w:numPr>
          <w:ilvl w:val="0"/>
          <w:numId w:val="1075"/>
        </w:numPr>
      </w:pPr>
      <w:r>
        <w:t xml:space="preserve">QR-Druck;</w:t>
      </w:r>
    </w:p>
    <w:p>
      <w:pPr>
        <w:pStyle w:val="Compact"/>
        <w:numPr>
          <w:ilvl w:val="0"/>
          <w:numId w:val="1075"/>
        </w:numPr>
      </w:pPr>
      <w:r>
        <w:t xml:space="preserve">Vor-Ort-Support;</w:t>
      </w:r>
    </w:p>
    <w:p>
      <w:pPr>
        <w:pStyle w:val="Compact"/>
        <w:numPr>
          <w:ilvl w:val="0"/>
          <w:numId w:val="1075"/>
        </w:numPr>
      </w:pPr>
      <w:r>
        <w:t xml:space="preserve">garantierte Marketingwirkung;</w:t>
      </w:r>
    </w:p>
    <w:p>
      <w:pPr>
        <w:pStyle w:val="Compact"/>
        <w:numPr>
          <w:ilvl w:val="0"/>
          <w:numId w:val="1075"/>
        </w:numPr>
      </w:pPr>
      <w:r>
        <w:t xml:space="preserve">garantierten Umsatz;</w:t>
      </w:r>
    </w:p>
    <w:p>
      <w:pPr>
        <w:pStyle w:val="Compact"/>
        <w:numPr>
          <w:ilvl w:val="0"/>
          <w:numId w:val="1075"/>
        </w:numPr>
      </w:pPr>
      <w:r>
        <w:t xml:space="preserve">garantierte Nachrichten-Zustellung;</w:t>
      </w:r>
    </w:p>
    <w:p>
      <w:pPr>
        <w:pStyle w:val="Compact"/>
        <w:numPr>
          <w:ilvl w:val="0"/>
          <w:numId w:val="1075"/>
        </w:numPr>
      </w:pPr>
      <w:r>
        <w:t xml:space="preserve">automatische Migration fremder Kundendaten;</w:t>
      </w:r>
    </w:p>
    <w:p>
      <w:pPr>
        <w:pStyle w:val="Compact"/>
        <w:numPr>
          <w:ilvl w:val="0"/>
          <w:numId w:val="1075"/>
        </w:numPr>
      </w:pPr>
      <w:r>
        <w:t xml:space="preserve">dauerhafte Unterstützung veralteter Browser;</w:t>
      </w:r>
    </w:p>
    <w:p>
      <w:pPr>
        <w:pStyle w:val="Compact"/>
        <w:numPr>
          <w:ilvl w:val="0"/>
          <w:numId w:val="1075"/>
        </w:numPr>
      </w:pPr>
      <w:r>
        <w:t xml:space="preserve">Rund-um-die-Uhr-Support ohne vereinbarten Tarif.</w:t>
      </w:r>
    </w:p>
    <w:p>
      <w:r>
        <w:pict>
          <v:rect style="width:0;height:1.5pt" o:hralign="center" o:hrstd="t" o:hr="t"/>
        </w:pict>
      </w:r>
    </w:p>
    <w:bookmarkEnd w:id="185"/>
    <w:bookmarkStart w:id="186" w:name="drittanbieterabhängigkeiten"/>
    <w:p>
      <w:pPr>
        <w:pStyle w:val="Heading1"/>
      </w:pPr>
      <w:r>
        <w:t xml:space="preserve">35. Drittanbieterabhängigkeiten</w:t>
      </w:r>
    </w:p>
    <w:p>
      <w:pPr>
        <w:pStyle w:val="FirstParagraph"/>
      </w:pPr>
      <w:r>
        <w:t xml:space="preserve">Die Plattform kann insbesondere abhängen von:</w:t>
      </w:r>
    </w:p>
    <w:p>
      <w:pPr>
        <w:pStyle w:val="Compact"/>
        <w:numPr>
          <w:ilvl w:val="0"/>
          <w:numId w:val="1076"/>
        </w:numPr>
      </w:pPr>
      <w:r>
        <w:t xml:space="preserve">Cloudflare;</w:t>
      </w:r>
    </w:p>
    <w:p>
      <w:pPr>
        <w:pStyle w:val="Compact"/>
        <w:numPr>
          <w:ilvl w:val="0"/>
          <w:numId w:val="1076"/>
        </w:numPr>
      </w:pPr>
      <w:r>
        <w:t xml:space="preserve">Supabase;</w:t>
      </w:r>
    </w:p>
    <w:p>
      <w:pPr>
        <w:pStyle w:val="Compact"/>
        <w:numPr>
          <w:ilvl w:val="0"/>
          <w:numId w:val="1076"/>
        </w:numPr>
      </w:pPr>
      <w:r>
        <w:t xml:space="preserve">Stripe;</w:t>
      </w:r>
    </w:p>
    <w:p>
      <w:pPr>
        <w:pStyle w:val="Compact"/>
        <w:numPr>
          <w:ilvl w:val="0"/>
          <w:numId w:val="1076"/>
        </w:numPr>
      </w:pPr>
      <w:r>
        <w:t xml:space="preserve">OpenStreetMap;</w:t>
      </w:r>
    </w:p>
    <w:p>
      <w:pPr>
        <w:pStyle w:val="Compact"/>
        <w:numPr>
          <w:ilvl w:val="0"/>
          <w:numId w:val="1076"/>
        </w:numPr>
      </w:pPr>
      <w:r>
        <w:t xml:space="preserve">Kartenbibliotheken;</w:t>
      </w:r>
    </w:p>
    <w:p>
      <w:pPr>
        <w:pStyle w:val="Compact"/>
        <w:numPr>
          <w:ilvl w:val="0"/>
          <w:numId w:val="1076"/>
        </w:numPr>
      </w:pPr>
      <w:r>
        <w:t xml:space="preserve">E-Mail-Anbietern;</w:t>
      </w:r>
    </w:p>
    <w:p>
      <w:pPr>
        <w:pStyle w:val="Compact"/>
        <w:numPr>
          <w:ilvl w:val="0"/>
          <w:numId w:val="1076"/>
        </w:numPr>
      </w:pPr>
      <w:r>
        <w:t xml:space="preserve">SMS-Anbietern;</w:t>
      </w:r>
    </w:p>
    <w:p>
      <w:pPr>
        <w:pStyle w:val="Compact"/>
        <w:numPr>
          <w:ilvl w:val="0"/>
          <w:numId w:val="1076"/>
        </w:numPr>
      </w:pPr>
      <w:r>
        <w:t xml:space="preserve">Pushdiensten;</w:t>
      </w:r>
    </w:p>
    <w:p>
      <w:pPr>
        <w:pStyle w:val="Compact"/>
        <w:numPr>
          <w:ilvl w:val="0"/>
          <w:numId w:val="1076"/>
        </w:numPr>
      </w:pPr>
      <w:r>
        <w:t xml:space="preserve">Monitoringdiensten;</w:t>
      </w:r>
    </w:p>
    <w:p>
      <w:pPr>
        <w:pStyle w:val="Compact"/>
        <w:numPr>
          <w:ilvl w:val="0"/>
          <w:numId w:val="1076"/>
        </w:numPr>
      </w:pPr>
      <w:r>
        <w:t xml:space="preserve">Browser- und Betriebssystemdiensten.</w:t>
      </w:r>
    </w:p>
    <w:p>
      <w:pPr>
        <w:pStyle w:val="FirstParagraph"/>
      </w:pPr>
      <w:r>
        <w:t xml:space="preserve">Drittanbieter können:</w:t>
      </w:r>
    </w:p>
    <w:p>
      <w:pPr>
        <w:pStyle w:val="Compact"/>
        <w:numPr>
          <w:ilvl w:val="0"/>
          <w:numId w:val="1077"/>
        </w:numPr>
      </w:pPr>
      <w:r>
        <w:t xml:space="preserve">Funktionen ändern;</w:t>
      </w:r>
    </w:p>
    <w:p>
      <w:pPr>
        <w:pStyle w:val="Compact"/>
        <w:numPr>
          <w:ilvl w:val="0"/>
          <w:numId w:val="1077"/>
        </w:numPr>
      </w:pPr>
      <w:r>
        <w:t xml:space="preserve">Preise ändern;</w:t>
      </w:r>
    </w:p>
    <w:p>
      <w:pPr>
        <w:pStyle w:val="Compact"/>
        <w:numPr>
          <w:ilvl w:val="0"/>
          <w:numId w:val="1077"/>
        </w:numPr>
      </w:pPr>
      <w:r>
        <w:t xml:space="preserve">Dienste einschränken;</w:t>
      </w:r>
    </w:p>
    <w:p>
      <w:pPr>
        <w:pStyle w:val="Compact"/>
        <w:numPr>
          <w:ilvl w:val="0"/>
          <w:numId w:val="1077"/>
        </w:numPr>
      </w:pPr>
      <w:r>
        <w:t xml:space="preserve">temporär ausfallen;</w:t>
      </w:r>
    </w:p>
    <w:p>
      <w:pPr>
        <w:pStyle w:val="Compact"/>
        <w:numPr>
          <w:ilvl w:val="0"/>
          <w:numId w:val="1077"/>
        </w:numPr>
      </w:pPr>
      <w:r>
        <w:t xml:space="preserve">eigene Datenschutzbedingungen anwenden.</w:t>
      </w:r>
    </w:p>
    <w:p>
      <w:pPr>
        <w:pStyle w:val="FirstParagraph"/>
      </w:pPr>
      <w:r>
        <w:t xml:space="preserve">WUXUAI wird solche Abhängigkeiten im vertraglich geschuldeten und zumutbaren Umfang verwalten.</w:t>
      </w:r>
    </w:p>
    <w:p>
      <w:r>
        <w:pict>
          <v:rect style="width:0;height:1.5pt" o:hralign="center" o:hrstd="t" o:hr="t"/>
        </w:pict>
      </w:r>
    </w:p>
    <w:bookmarkEnd w:id="186"/>
    <w:bookmarkStart w:id="187" w:name="leistungsgrenzen"/>
    <w:p>
      <w:pPr>
        <w:pStyle w:val="Heading1"/>
      </w:pPr>
      <w:r>
        <w:t xml:space="preserve">36. Leistungsgrenzen</w:t>
      </w:r>
    </w:p>
    <w:p>
      <w:pPr>
        <w:pStyle w:val="FirstParagraph"/>
      </w:pPr>
      <w:r>
        <w:t xml:space="preserve">Je Tarif können technische Grenzen gelten für:</w:t>
      </w:r>
    </w:p>
    <w:p>
      <w:pPr>
        <w:pStyle w:val="Compact"/>
        <w:numPr>
          <w:ilvl w:val="0"/>
          <w:numId w:val="1078"/>
        </w:numPr>
      </w:pPr>
      <w:r>
        <w:t xml:space="preserve">Restaurants;</w:t>
      </w:r>
    </w:p>
    <w:p>
      <w:pPr>
        <w:pStyle w:val="Compact"/>
        <w:numPr>
          <w:ilvl w:val="0"/>
          <w:numId w:val="1078"/>
        </w:numPr>
      </w:pPr>
      <w:r>
        <w:t xml:space="preserve">Filialen;</w:t>
      </w:r>
    </w:p>
    <w:p>
      <w:pPr>
        <w:pStyle w:val="Compact"/>
        <w:numPr>
          <w:ilvl w:val="0"/>
          <w:numId w:val="1078"/>
        </w:numPr>
      </w:pPr>
      <w:r>
        <w:t xml:space="preserve">Owner;</w:t>
      </w:r>
    </w:p>
    <w:p>
      <w:pPr>
        <w:pStyle w:val="Compact"/>
        <w:numPr>
          <w:ilvl w:val="0"/>
          <w:numId w:val="1078"/>
        </w:numPr>
      </w:pPr>
      <w:r>
        <w:t xml:space="preserve">Mitarbeiter;</w:t>
      </w:r>
    </w:p>
    <w:p>
      <w:pPr>
        <w:pStyle w:val="Compact"/>
        <w:numPr>
          <w:ilvl w:val="0"/>
          <w:numId w:val="1078"/>
        </w:numPr>
      </w:pPr>
      <w:r>
        <w:t xml:space="preserve">Gäste;</w:t>
      </w:r>
    </w:p>
    <w:p>
      <w:pPr>
        <w:pStyle w:val="Compact"/>
        <w:numPr>
          <w:ilvl w:val="0"/>
          <w:numId w:val="1078"/>
        </w:numPr>
      </w:pPr>
      <w:r>
        <w:t xml:space="preserve">Rewards;</w:t>
      </w:r>
    </w:p>
    <w:p>
      <w:pPr>
        <w:pStyle w:val="Compact"/>
        <w:numPr>
          <w:ilvl w:val="0"/>
          <w:numId w:val="1078"/>
        </w:numPr>
      </w:pPr>
      <w:r>
        <w:t xml:space="preserve">Kampagnen;</w:t>
      </w:r>
    </w:p>
    <w:p>
      <w:pPr>
        <w:pStyle w:val="Compact"/>
        <w:numPr>
          <w:ilvl w:val="0"/>
          <w:numId w:val="1078"/>
        </w:numPr>
      </w:pPr>
      <w:r>
        <w:t xml:space="preserve">E-Mails;</w:t>
      </w:r>
    </w:p>
    <w:p>
      <w:pPr>
        <w:pStyle w:val="Compact"/>
        <w:numPr>
          <w:ilvl w:val="0"/>
          <w:numId w:val="1078"/>
        </w:numPr>
      </w:pPr>
      <w:r>
        <w:t xml:space="preserve">SMS;</w:t>
      </w:r>
    </w:p>
    <w:p>
      <w:pPr>
        <w:pStyle w:val="Compact"/>
        <w:numPr>
          <w:ilvl w:val="0"/>
          <w:numId w:val="1078"/>
        </w:numPr>
      </w:pPr>
      <w:r>
        <w:t xml:space="preserve">Pushnachrichten;</w:t>
      </w:r>
    </w:p>
    <w:p>
      <w:pPr>
        <w:pStyle w:val="Compact"/>
        <w:numPr>
          <w:ilvl w:val="0"/>
          <w:numId w:val="1078"/>
        </w:numPr>
      </w:pPr>
      <w:r>
        <w:t xml:space="preserve">Datenspeicher;</w:t>
      </w:r>
    </w:p>
    <w:p>
      <w:pPr>
        <w:pStyle w:val="Compact"/>
        <w:numPr>
          <w:ilvl w:val="0"/>
          <w:numId w:val="1078"/>
        </w:numPr>
      </w:pPr>
      <w:r>
        <w:t xml:space="preserve">Exportvolumen;</w:t>
      </w:r>
    </w:p>
    <w:p>
      <w:pPr>
        <w:pStyle w:val="Compact"/>
        <w:numPr>
          <w:ilvl w:val="0"/>
          <w:numId w:val="1078"/>
        </w:numPr>
      </w:pPr>
      <w:r>
        <w:t xml:space="preserve">API-Anfragen;</w:t>
      </w:r>
    </w:p>
    <w:p>
      <w:pPr>
        <w:pStyle w:val="Compact"/>
        <w:numPr>
          <w:ilvl w:val="0"/>
          <w:numId w:val="1078"/>
        </w:numPr>
      </w:pPr>
      <w:r>
        <w:t xml:space="preserve">Supportfälle.</w:t>
      </w:r>
    </w:p>
    <w:p>
      <w:pPr>
        <w:pStyle w:val="FirstParagraph"/>
      </w:pPr>
      <w:r>
        <w:t xml:space="preserve">Die konkreten Limits müssen im Bestellformular oder in der Tarifübersicht angegeben werden.</w:t>
      </w:r>
    </w:p>
    <w:p>
      <w:r>
        <w:pict>
          <v:rect style="width:0;height:1.5pt" o:hralign="center" o:hrstd="t" o:hr="t"/>
        </w:pict>
      </w:r>
    </w:p>
    <w:bookmarkEnd w:id="187"/>
    <w:bookmarkStart w:id="192" w:name="änderungsmanagement"/>
    <w:p>
      <w:pPr>
        <w:pStyle w:val="Heading1"/>
      </w:pPr>
      <w:r>
        <w:t xml:space="preserve">37. Änderungsmanagement</w:t>
      </w:r>
    </w:p>
    <w:bookmarkStart w:id="188" w:name="funktionsänderungen"/>
    <w:p>
      <w:pPr>
        <w:pStyle w:val="Heading2"/>
      </w:pPr>
      <w:r>
        <w:t xml:space="preserve">37.1 Funktionsänderungen</w:t>
      </w:r>
    </w:p>
    <w:p>
      <w:pPr>
        <w:pStyle w:val="FirstParagraph"/>
      </w:pPr>
      <w:r>
        <w:t xml:space="preserve">WUXUAI darf die Plattform weiterentwickeln.</w:t>
      </w:r>
    </w:p>
    <w:bookmarkEnd w:id="188"/>
    <w:bookmarkStart w:id="189" w:name="kernfunktionen"/>
    <w:p>
      <w:pPr>
        <w:pStyle w:val="Heading2"/>
      </w:pPr>
      <w:r>
        <w:t xml:space="preserve">37.2 Kernfunktionen</w:t>
      </w:r>
    </w:p>
    <w:p>
      <w:pPr>
        <w:pStyle w:val="FirstParagraph"/>
      </w:pPr>
      <w:r>
        <w:t xml:space="preserve">Eine dauerhafte wesentliche Einschränkung einer ausdrücklich gebuchten Kernfunktion wird nach den B2B-SaaS-AGB behandelt.</w:t>
      </w:r>
    </w:p>
    <w:bookmarkEnd w:id="189"/>
    <w:bookmarkStart w:id="190" w:name="neue-module"/>
    <w:p>
      <w:pPr>
        <w:pStyle w:val="Heading2"/>
      </w:pPr>
      <w:r>
        <w:t xml:space="preserve">37.3 Neue Module</w:t>
      </w:r>
    </w:p>
    <w:p>
      <w:pPr>
        <w:pStyle w:val="FirstParagraph"/>
      </w:pPr>
      <w:r>
        <w:t xml:space="preserve">Neue Module können:</w:t>
      </w:r>
    </w:p>
    <w:p>
      <w:pPr>
        <w:pStyle w:val="Compact"/>
        <w:numPr>
          <w:ilvl w:val="0"/>
          <w:numId w:val="1079"/>
        </w:numPr>
      </w:pPr>
      <w:r>
        <w:t xml:space="preserve">separat bepreist;</w:t>
      </w:r>
    </w:p>
    <w:p>
      <w:pPr>
        <w:pStyle w:val="Compact"/>
        <w:numPr>
          <w:ilvl w:val="0"/>
          <w:numId w:val="1079"/>
        </w:numPr>
      </w:pPr>
      <w:r>
        <w:t xml:space="preserve">nur für bestimmte Tarife angeboten;</w:t>
      </w:r>
    </w:p>
    <w:p>
      <w:pPr>
        <w:pStyle w:val="Compact"/>
        <w:numPr>
          <w:ilvl w:val="0"/>
          <w:numId w:val="1079"/>
        </w:numPr>
      </w:pPr>
      <w:r>
        <w:t xml:space="preserve">als Beta bereitgestellt</w:t>
      </w:r>
    </w:p>
    <w:p>
      <w:pPr>
        <w:pStyle w:val="FirstParagraph"/>
      </w:pPr>
      <w:r>
        <w:t xml:space="preserve">werden.</w:t>
      </w:r>
    </w:p>
    <w:bookmarkEnd w:id="190"/>
    <w:bookmarkStart w:id="191" w:name="dokumentation"/>
    <w:p>
      <w:pPr>
        <w:pStyle w:val="Heading2"/>
      </w:pPr>
      <w:r>
        <w:t xml:space="preserve">37.4 Dokumentation</w:t>
      </w:r>
    </w:p>
    <w:p>
      <w:pPr>
        <w:pStyle w:val="FirstParagraph"/>
      </w:pPr>
      <w:r>
        <w:t xml:space="preserve">Wesentliche Änderungen werden in geeigneter Form dokumentiert.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X1a70b0a0290bd0857f9547e4e1e9061f8b10525"/>
    <w:p>
      <w:pPr>
        <w:pStyle w:val="Heading1"/>
      </w:pPr>
      <w:r>
        <w:t xml:space="preserve">38. Abnahmekriterien für die Standardplattform</w:t>
      </w:r>
    </w:p>
    <w:p>
      <w:pPr>
        <w:pStyle w:val="FirstParagraph"/>
      </w:pPr>
      <w:r>
        <w:t xml:space="preserve">Die Standardplattform gilt technisch als bereitgestellt, wenn:</w:t>
      </w:r>
    </w:p>
    <w:p>
      <w:pPr>
        <w:pStyle w:val="Compact"/>
        <w:numPr>
          <w:ilvl w:val="0"/>
          <w:numId w:val="1080"/>
        </w:numPr>
      </w:pPr>
      <w:r>
        <w:t xml:space="preserve">der vereinbarte Ownerzugang eingerichtet ist;</w:t>
      </w:r>
    </w:p>
    <w:p>
      <w:pPr>
        <w:pStyle w:val="Compact"/>
        <w:numPr>
          <w:ilvl w:val="0"/>
          <w:numId w:val="1080"/>
        </w:numPr>
      </w:pPr>
      <w:r>
        <w:t xml:space="preserve">das Restaurantkonto erreichbar ist;</w:t>
      </w:r>
    </w:p>
    <w:p>
      <w:pPr>
        <w:pStyle w:val="Compact"/>
        <w:numPr>
          <w:ilvl w:val="0"/>
          <w:numId w:val="1080"/>
        </w:numPr>
      </w:pPr>
      <w:r>
        <w:t xml:space="preserve">die gebuchten Kernmodule aktiviert sind;</w:t>
      </w:r>
    </w:p>
    <w:p>
      <w:pPr>
        <w:pStyle w:val="Compact"/>
        <w:numPr>
          <w:ilvl w:val="0"/>
          <w:numId w:val="1080"/>
        </w:numPr>
      </w:pPr>
      <w:r>
        <w:t xml:space="preserve">die Plattform im unterstützten Browser grundsätzlich nutzbar ist;</w:t>
      </w:r>
    </w:p>
    <w:p>
      <w:pPr>
        <w:pStyle w:val="Compact"/>
        <w:numPr>
          <w:ilvl w:val="0"/>
          <w:numId w:val="1080"/>
        </w:numPr>
      </w:pPr>
      <w:r>
        <w:t xml:space="preserve">keine kritische, den Gesamtbetrieb verhindernde Störung besteht.</w:t>
      </w:r>
    </w:p>
    <w:p>
      <w:pPr>
        <w:pStyle w:val="FirstParagraph"/>
      </w:pPr>
      <w:r>
        <w:t xml:space="preserve">Einzelne geringfügige Fehler verhindern die Bereitstellung nicht, sofern die vertragsgemäße Nutzung insgesamt möglich bleibt.</w:t>
      </w:r>
    </w:p>
    <w:p>
      <w:pPr>
        <w:pStyle w:val="BodyText"/>
      </w:pPr>
      <w:r>
        <w:t xml:space="preserve">Individuelle Abnahmeverfahren bedürfen einer ausdrücklichen Vereinbarung.</w:t>
      </w:r>
    </w:p>
    <w:p>
      <w:r>
        <w:pict>
          <v:rect style="width:0;height:1.5pt" o:hralign="center" o:hrstd="t" o:hr="t"/>
        </w:pict>
      </w:r>
    </w:p>
    <w:bookmarkEnd w:id="193"/>
    <w:bookmarkStart w:id="194" w:name="aktueller-technischer-referenzstand"/>
    <w:p>
      <w:pPr>
        <w:pStyle w:val="Heading1"/>
      </w:pPr>
      <w:r>
        <w:t xml:space="preserve">39. Aktueller technischer Referenzstand</w:t>
      </w:r>
    </w:p>
    <w:p>
      <w:pPr>
        <w:pStyle w:val="FirstParagraph"/>
      </w:pPr>
      <w:r>
        <w:t xml:space="preserve">Interner Referenzstand zum Zeitpunkt dieses Entwurfs:</w:t>
      </w:r>
    </w:p>
    <w:p>
      <w:pPr>
        <w:pStyle w:val="SourceCode"/>
      </w:pPr>
      <w:r>
        <w:rPr>
          <w:rStyle w:val="VerbatimChar"/>
        </w:rPr>
        <w:t xml:space="preserve">Branch: codex/v13-legal-maps-hardening</w:t>
      </w:r>
      <w:r>
        <w:br/>
      </w:r>
      <w:r>
        <w:rPr>
          <w:rStyle w:val="VerbatimChar"/>
        </w:rPr>
        <w:t xml:space="preserve">Commit: 4e5800d</w:t>
      </w:r>
      <w:r>
        <w:br/>
      </w:r>
      <w:r>
        <w:rPr>
          <w:rStyle w:val="VerbatimChar"/>
        </w:rPr>
        <w:t xml:space="preserve">Staging-Projekt: wuxuai-bonus-staging</w:t>
      </w:r>
      <w:r>
        <w:br/>
      </w:r>
      <w:r>
        <w:rPr>
          <w:rStyle w:val="VerbatimChar"/>
        </w:rPr>
        <w:t xml:space="preserve">Lokale Migrationen: 60</w:t>
      </w:r>
      <w:r>
        <w:br/>
      </w:r>
      <w:r>
        <w:rPr>
          <w:rStyle w:val="VerbatimChar"/>
        </w:rPr>
        <w:t xml:space="preserve">Remote-Migrationen: 60</w:t>
      </w:r>
      <w:r>
        <w:br/>
      </w:r>
      <w:r>
        <w:rPr>
          <w:rStyle w:val="VerbatimChar"/>
        </w:rPr>
        <w:t xml:space="preserve">Tests: 134/134 erfolgreich</w:t>
      </w:r>
      <w:r>
        <w:br/>
      </w:r>
      <w:r>
        <w:rPr>
          <w:rStyle w:val="VerbatimChar"/>
        </w:rPr>
        <w:t xml:space="preserve">Typecheck: erfolgreich</w:t>
      </w:r>
      <w:r>
        <w:br/>
      </w:r>
      <w:r>
        <w:rPr>
          <w:rStyle w:val="VerbatimChar"/>
        </w:rPr>
        <w:t xml:space="preserve">Lint: 0 Fehler, 7 bestehende Warnungen</w:t>
      </w:r>
      <w:r>
        <w:br/>
      </w:r>
      <w:r>
        <w:rPr>
          <w:rStyle w:val="VerbatimChar"/>
        </w:rPr>
        <w:t xml:space="preserve">Build: erfolgreich</w:t>
      </w:r>
    </w:p>
    <w:p>
      <w:pPr>
        <w:pStyle w:val="FirstParagraph"/>
      </w:pPr>
      <w:r>
        <w:t xml:space="preserve">Live geprüft:</w:t>
      </w:r>
    </w:p>
    <w:p>
      <w:pPr>
        <w:pStyle w:val="Compact"/>
        <w:numPr>
          <w:ilvl w:val="0"/>
          <w:numId w:val="1081"/>
        </w:numPr>
      </w:pPr>
      <w:r>
        <w:t xml:space="preserve">Public Legal Center read-only;</w:t>
      </w:r>
    </w:p>
    <w:p>
      <w:pPr>
        <w:pStyle w:val="Compact"/>
        <w:numPr>
          <w:ilvl w:val="0"/>
          <w:numId w:val="1081"/>
        </w:numPr>
      </w:pPr>
      <w:r>
        <w:t xml:space="preserve">Legal-Template-Backfill idempotent;</w:t>
      </w:r>
    </w:p>
    <w:p>
      <w:pPr>
        <w:pStyle w:val="Compact"/>
        <w:numPr>
          <w:ilvl w:val="0"/>
          <w:numId w:val="1081"/>
        </w:numPr>
      </w:pPr>
      <w:r>
        <w:t xml:space="preserve">Pflichtannahmen bei Registrierung;</w:t>
      </w:r>
    </w:p>
    <w:p>
      <w:pPr>
        <w:pStyle w:val="Compact"/>
        <w:numPr>
          <w:ilvl w:val="0"/>
          <w:numId w:val="1081"/>
        </w:numPr>
      </w:pPr>
      <w:r>
        <w:t xml:space="preserve">Registrierung ohne Marketingconsent;</w:t>
      </w:r>
    </w:p>
    <w:p>
      <w:pPr>
        <w:pStyle w:val="Compact"/>
        <w:numPr>
          <w:ilvl w:val="0"/>
          <w:numId w:val="1081"/>
        </w:numPr>
      </w:pPr>
      <w:r>
        <w:t xml:space="preserve">Portalstabilität bei Legal-Fehler;</w:t>
      </w:r>
    </w:p>
    <w:p>
      <w:pPr>
        <w:pStyle w:val="Compact"/>
        <w:numPr>
          <w:ilvl w:val="0"/>
          <w:numId w:val="1081"/>
        </w:numPr>
      </w:pPr>
      <w:r>
        <w:t xml:space="preserve">Datenschutzexport ohne Dokumentvolltexte;</w:t>
      </w:r>
    </w:p>
    <w:p>
      <w:pPr>
        <w:pStyle w:val="Compact"/>
        <w:numPr>
          <w:ilvl w:val="0"/>
          <w:numId w:val="1081"/>
        </w:numPr>
      </w:pPr>
      <w:r>
        <w:t xml:space="preserve">restaurantbezogene Consents;</w:t>
      </w:r>
    </w:p>
    <w:p>
      <w:pPr>
        <w:pStyle w:val="Compact"/>
        <w:numPr>
          <w:ilvl w:val="0"/>
          <w:numId w:val="1081"/>
        </w:numPr>
      </w:pPr>
      <w:r>
        <w:t xml:space="preserve">Marketingblockade ohne Consent;</w:t>
      </w:r>
    </w:p>
    <w:p>
      <w:pPr>
        <w:pStyle w:val="Compact"/>
        <w:numPr>
          <w:ilvl w:val="0"/>
          <w:numId w:val="1081"/>
        </w:numPr>
      </w:pPr>
      <w:r>
        <w:t xml:space="preserve">RLS;</w:t>
      </w:r>
    </w:p>
    <w:p>
      <w:pPr>
        <w:pStyle w:val="Compact"/>
        <w:numPr>
          <w:ilvl w:val="0"/>
          <w:numId w:val="1081"/>
        </w:numPr>
      </w:pPr>
      <w:r>
        <w:t xml:space="preserve">Blockierung fremder Restaurantzugriffe.</w:t>
      </w:r>
    </w:p>
    <w:p>
      <w:pPr>
        <w:pStyle w:val="FirstParagraph"/>
      </w:pPr>
      <w:r>
        <w:t xml:space="preserve">Noch nicht final abgeschlossen:</w:t>
      </w:r>
    </w:p>
    <w:p>
      <w:pPr>
        <w:pStyle w:val="Compact"/>
        <w:numPr>
          <w:ilvl w:val="0"/>
          <w:numId w:val="1082"/>
        </w:numPr>
      </w:pPr>
      <w:r>
        <w:t xml:space="preserve">österreichische Rechtsprüfung;</w:t>
      </w:r>
    </w:p>
    <w:p>
      <w:pPr>
        <w:pStyle w:val="Compact"/>
        <w:numPr>
          <w:ilvl w:val="0"/>
          <w:numId w:val="1082"/>
        </w:numPr>
      </w:pPr>
      <w:r>
        <w:t xml:space="preserve">steuerliche Prüfung;</w:t>
      </w:r>
    </w:p>
    <w:p>
      <w:pPr>
        <w:pStyle w:val="Compact"/>
        <w:numPr>
          <w:ilvl w:val="0"/>
          <w:numId w:val="1082"/>
        </w:numPr>
      </w:pPr>
      <w:r>
        <w:t xml:space="preserve">kanalspezifische Double-Opt-in-Freigabe;</w:t>
      </w:r>
    </w:p>
    <w:p>
      <w:pPr>
        <w:pStyle w:val="Compact"/>
        <w:numPr>
          <w:ilvl w:val="0"/>
          <w:numId w:val="1082"/>
        </w:numPr>
      </w:pPr>
      <w:r>
        <w:t xml:space="preserve">physischer Mobile-Safari-Test;</w:t>
      </w:r>
    </w:p>
    <w:p>
      <w:pPr>
        <w:pStyle w:val="Compact"/>
        <w:numPr>
          <w:ilvl w:val="0"/>
          <w:numId w:val="1082"/>
        </w:numPr>
      </w:pPr>
      <w:r>
        <w:t xml:space="preserve">Screenreadertest;</w:t>
      </w:r>
    </w:p>
    <w:p>
      <w:pPr>
        <w:pStyle w:val="Compact"/>
        <w:numPr>
          <w:ilvl w:val="0"/>
          <w:numId w:val="1082"/>
        </w:numPr>
      </w:pPr>
      <w:r>
        <w:t xml:space="preserve">produktives Billing;</w:t>
      </w:r>
    </w:p>
    <w:p>
      <w:pPr>
        <w:pStyle w:val="Compact"/>
        <w:numPr>
          <w:ilvl w:val="0"/>
          <w:numId w:val="1082"/>
        </w:numPr>
      </w:pPr>
      <w:r>
        <w:t xml:space="preserve">produktives E-Mail-, SMS- oder Pushsystem.</w:t>
      </w:r>
    </w:p>
    <w:p>
      <w:pPr>
        <w:pStyle w:val="FirstParagraph"/>
      </w:pPr>
      <w:r>
        <w:t xml:space="preserve">Dieser interne Referenzstand ist kein langfristig garantierter Produktumfang. Vertragsentscheidend sind Angebot, Tarif und veröffentlichte Leistungsbeschreibung.</w:t>
      </w:r>
    </w:p>
    <w:p>
      <w:r>
        <w:pict>
          <v:rect style="width:0;height:1.5pt" o:hralign="center" o:hrstd="t" o:hr="t"/>
        </w:pict>
      </w:r>
    </w:p>
    <w:bookmarkEnd w:id="194"/>
    <w:bookmarkStart w:id="195" w:name="tarifmatrix-auszufüllen"/>
    <w:p>
      <w:pPr>
        <w:pStyle w:val="Heading1"/>
      </w:pPr>
      <w:r>
        <w:t xml:space="preserve">40. Tarifmatrix – auszufüllen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Filialpaket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Owner-Portal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Kundenportal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Mitarbeiterportal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Filialen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[ANZAHL]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[ANZAHL]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[ANZAHL]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[INDIVIDUELL]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Gäste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[INDIVIDUELL]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[LIMIT]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[INDIVIDUELL]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Datenschutzanfragen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Restaurant-Finder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E-Mail-Modul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SMS-Modul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Push-Modul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[JA/NEIN]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Standard-Support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[UMFANG]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[UMFANG]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[UMFANG]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[UMFANG]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[NEIN]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[STANDARD]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[ERWEITERT]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[INDIVIDUELL]</w:t>
            </w:r>
          </w:p>
        </w:tc>
      </w:tr>
    </w:tbl>
    <w:p>
      <w:pPr>
        <w:pStyle w:val="BodyText"/>
      </w:pPr>
      <w:r>
        <w:t xml:space="preserve">Die Tarifmatrix muss vor Vertragsabschluss vollständig sein.</w:t>
      </w:r>
    </w:p>
    <w:p>
      <w:r>
        <w:pict>
          <v:rect style="width:0;height:1.5pt" o:hralign="center" o:hrstd="t" o:hr="t"/>
        </w:pict>
      </w:r>
    </w:p>
    <w:bookmarkEnd w:id="195"/>
    <w:bookmarkStart w:id="196" w:name="technische-voraussetzungen-des-kunden"/>
    <w:p>
      <w:pPr>
        <w:pStyle w:val="Heading1"/>
      </w:pPr>
      <w:r>
        <w:t xml:space="preserve">41. Technische Voraussetzungen des Kunden</w:t>
      </w:r>
    </w:p>
    <w:p>
      <w:pPr>
        <w:pStyle w:val="FirstParagraph"/>
      </w:pPr>
      <w:r>
        <w:t xml:space="preserve">Der Kunde benötigt insbesondere:</w:t>
      </w:r>
    </w:p>
    <w:p>
      <w:pPr>
        <w:pStyle w:val="Compact"/>
        <w:numPr>
          <w:ilvl w:val="0"/>
          <w:numId w:val="1083"/>
        </w:numPr>
      </w:pPr>
      <w:r>
        <w:t xml:space="preserve">stabile Internetverbindung;</w:t>
      </w:r>
    </w:p>
    <w:p>
      <w:pPr>
        <w:pStyle w:val="Compact"/>
        <w:numPr>
          <w:ilvl w:val="0"/>
          <w:numId w:val="1083"/>
        </w:numPr>
      </w:pPr>
      <w:r>
        <w:t xml:space="preserve">unterstützten Browser;</w:t>
      </w:r>
    </w:p>
    <w:p>
      <w:pPr>
        <w:pStyle w:val="Compact"/>
        <w:numPr>
          <w:ilvl w:val="0"/>
          <w:numId w:val="1083"/>
        </w:numPr>
      </w:pPr>
      <w:r>
        <w:t xml:space="preserve">geeignete Endgeräte;</w:t>
      </w:r>
    </w:p>
    <w:p>
      <w:pPr>
        <w:pStyle w:val="Compact"/>
        <w:numPr>
          <w:ilvl w:val="0"/>
          <w:numId w:val="1083"/>
        </w:numPr>
      </w:pPr>
      <w:r>
        <w:t xml:space="preserve">zugängliche E-Mail-Adresse;</w:t>
      </w:r>
    </w:p>
    <w:p>
      <w:pPr>
        <w:pStyle w:val="Compact"/>
        <w:numPr>
          <w:ilvl w:val="0"/>
          <w:numId w:val="1083"/>
        </w:numPr>
      </w:pPr>
      <w:r>
        <w:t xml:space="preserve">sichere Benutzerkonten;</w:t>
      </w:r>
    </w:p>
    <w:p>
      <w:pPr>
        <w:pStyle w:val="Compact"/>
        <w:numPr>
          <w:ilvl w:val="0"/>
          <w:numId w:val="1083"/>
        </w:numPr>
      </w:pPr>
      <w:r>
        <w:t xml:space="preserve">aktuelle Betriebssysteme;</w:t>
      </w:r>
    </w:p>
    <w:p>
      <w:pPr>
        <w:pStyle w:val="Compact"/>
        <w:numPr>
          <w:ilvl w:val="0"/>
          <w:numId w:val="1083"/>
        </w:numPr>
      </w:pPr>
      <w:r>
        <w:t xml:space="preserve">gegebenenfalls Druckmöglichkeit für QR-Material;</w:t>
      </w:r>
    </w:p>
    <w:p>
      <w:pPr>
        <w:pStyle w:val="Compact"/>
        <w:numPr>
          <w:ilvl w:val="0"/>
          <w:numId w:val="1083"/>
        </w:numPr>
      </w:pPr>
      <w:r>
        <w:t xml:space="preserve">Mitarbeiter mit ausreichender Schulung.</w:t>
      </w:r>
    </w:p>
    <w:p>
      <w:pPr>
        <w:pStyle w:val="FirstParagraph"/>
      </w:pPr>
      <w:r>
        <w:t xml:space="preserve">Für einzelne mobile Funktionen können erforderlich sein:</w:t>
      </w:r>
    </w:p>
    <w:p>
      <w:pPr>
        <w:pStyle w:val="Compact"/>
        <w:numPr>
          <w:ilvl w:val="0"/>
          <w:numId w:val="1084"/>
        </w:numPr>
      </w:pPr>
      <w:r>
        <w:t xml:space="preserve">Kamera;</w:t>
      </w:r>
    </w:p>
    <w:p>
      <w:pPr>
        <w:pStyle w:val="Compact"/>
        <w:numPr>
          <w:ilvl w:val="0"/>
          <w:numId w:val="1084"/>
        </w:numPr>
      </w:pPr>
      <w:r>
        <w:t xml:space="preserve">Standortberechtigung;</w:t>
      </w:r>
    </w:p>
    <w:p>
      <w:pPr>
        <w:pStyle w:val="Compact"/>
        <w:numPr>
          <w:ilvl w:val="0"/>
          <w:numId w:val="1084"/>
        </w:numPr>
      </w:pPr>
      <w:r>
        <w:t xml:space="preserve">Pushberechtigung;</w:t>
      </w:r>
    </w:p>
    <w:p>
      <w:pPr>
        <w:pStyle w:val="Compact"/>
        <w:numPr>
          <w:ilvl w:val="0"/>
          <w:numId w:val="1084"/>
        </w:numPr>
      </w:pPr>
      <w:r>
        <w:t xml:space="preserve">PWA-Unterstützung.</w:t>
      </w:r>
    </w:p>
    <w:p>
      <w:r>
        <w:pict>
          <v:rect style="width:0;height:1.5pt" o:hralign="center" o:hrstd="t" o:hr="t"/>
        </w:pict>
      </w:r>
    </w:p>
    <w:bookmarkEnd w:id="196"/>
    <w:bookmarkStart w:id="197" w:name="dokumentationsumfang"/>
    <w:p>
      <w:pPr>
        <w:pStyle w:val="Heading1"/>
      </w:pPr>
      <w:r>
        <w:t xml:space="preserve">42. Dokumentationsumfang</w:t>
      </w:r>
    </w:p>
    <w:p>
      <w:pPr>
        <w:pStyle w:val="FirstParagraph"/>
      </w:pPr>
      <w:r>
        <w:t xml:space="preserve">WUXUAI kann bereitstellen:</w:t>
      </w:r>
    </w:p>
    <w:p>
      <w:pPr>
        <w:pStyle w:val="Compact"/>
        <w:numPr>
          <w:ilvl w:val="0"/>
          <w:numId w:val="1085"/>
        </w:numPr>
      </w:pPr>
      <w:r>
        <w:t xml:space="preserve">Online-Hilfe;</w:t>
      </w:r>
    </w:p>
    <w:p>
      <w:pPr>
        <w:pStyle w:val="Compact"/>
        <w:numPr>
          <w:ilvl w:val="0"/>
          <w:numId w:val="1085"/>
        </w:numPr>
      </w:pPr>
      <w:r>
        <w:t xml:space="preserve">FAQ;</w:t>
      </w:r>
    </w:p>
    <w:p>
      <w:pPr>
        <w:pStyle w:val="Compact"/>
        <w:numPr>
          <w:ilvl w:val="0"/>
          <w:numId w:val="1085"/>
        </w:numPr>
      </w:pPr>
      <w:r>
        <w:t xml:space="preserve">Kurzanleitungen;</w:t>
      </w:r>
    </w:p>
    <w:p>
      <w:pPr>
        <w:pStyle w:val="Compact"/>
        <w:numPr>
          <w:ilvl w:val="0"/>
          <w:numId w:val="1085"/>
        </w:numPr>
      </w:pPr>
      <w:r>
        <w:t xml:space="preserve">Owner-Handbuch;</w:t>
      </w:r>
    </w:p>
    <w:p>
      <w:pPr>
        <w:pStyle w:val="Compact"/>
        <w:numPr>
          <w:ilvl w:val="0"/>
          <w:numId w:val="1085"/>
        </w:numPr>
      </w:pPr>
      <w:r>
        <w:t xml:space="preserve">Mitarbeiteranleitung;</w:t>
      </w:r>
    </w:p>
    <w:p>
      <w:pPr>
        <w:pStyle w:val="Compact"/>
        <w:numPr>
          <w:ilvl w:val="0"/>
          <w:numId w:val="1085"/>
        </w:numPr>
      </w:pPr>
      <w:r>
        <w:t xml:space="preserve">Release Notes;</w:t>
      </w:r>
    </w:p>
    <w:p>
      <w:pPr>
        <w:pStyle w:val="Compact"/>
        <w:numPr>
          <w:ilvl w:val="0"/>
          <w:numId w:val="1085"/>
        </w:numPr>
      </w:pPr>
      <w:r>
        <w:t xml:space="preserve">Datenschutz- und Legal-Hinweise.</w:t>
      </w:r>
    </w:p>
    <w:p>
      <w:pPr>
        <w:pStyle w:val="FirstParagraph"/>
      </w:pPr>
      <w:r>
        <w:t xml:space="preserve">Der genaue Umfang wird tarif- oder projektbezogen festgelegt.</w:t>
      </w:r>
    </w:p>
    <w:p>
      <w:r>
        <w:pict>
          <v:rect style="width:0;height:1.5pt" o:hralign="center" o:hrstd="t" o:hr="t"/>
        </w:pict>
      </w:r>
    </w:p>
    <w:bookmarkEnd w:id="197"/>
    <w:bookmarkStart w:id="198" w:name="vertragssprache-und-sprachversionen"/>
    <w:p>
      <w:pPr>
        <w:pStyle w:val="Heading1"/>
      </w:pPr>
      <w:r>
        <w:t xml:space="preserve">43. Vertragssprache und Sprachversionen</w:t>
      </w:r>
    </w:p>
    <w:p>
      <w:pPr>
        <w:pStyle w:val="FirstParagraph"/>
      </w:pPr>
      <w:r>
        <w:t xml:space="preserve">Die verbindliche Standardsprache ist Deutsch.</w:t>
      </w:r>
    </w:p>
    <w:p>
      <w:pPr>
        <w:pStyle w:val="BodyText"/>
      </w:pPr>
      <w:r>
        <w:t xml:space="preserve">Weitere Sprachen können angeboten werden.</w:t>
      </w:r>
    </w:p>
    <w:p>
      <w:pPr>
        <w:pStyle w:val="BodyText"/>
      </w:pPr>
      <w:r>
        <w:t xml:space="preserve">Automatisch erzeugte oder maschinell übersetzte Fassungen gelten nur dann als verbindlich, wenn dies ausdrücklich angegeben und rechtlich geprüft wurde.</w:t>
      </w:r>
    </w:p>
    <w:p>
      <w:r>
        <w:pict>
          <v:rect style="width:0;height:1.5pt" o:hralign="center" o:hrstd="t" o:hr="t"/>
        </w:pict>
      </w:r>
    </w:p>
    <w:bookmarkEnd w:id="198"/>
    <w:bookmarkStart w:id="199" w:name="versions--und-freigabeangaben"/>
    <w:p>
      <w:pPr>
        <w:pStyle w:val="Heading1"/>
      </w:pPr>
      <w:r>
        <w:t xml:space="preserve">44. Versions- und Freigabeangaben</w:t>
      </w:r>
    </w:p>
    <w:p>
      <w:pPr>
        <w:pStyle w:val="FirstParagraph"/>
      </w:pPr>
      <w:r>
        <w:rPr>
          <w:b/>
          <w:bCs/>
        </w:rPr>
        <w:t xml:space="preserve">Dokumentversion:</w:t>
      </w:r>
      <w:r>
        <w:t xml:space="preserve"> </w:t>
      </w:r>
      <w:r>
        <w:t xml:space="preserve">1.0-DRAFT</w:t>
      </w:r>
      <w:r>
        <w:br/>
      </w:r>
      <w:r>
        <w:rPr>
          <w:b/>
          <w:bCs/>
        </w:rPr>
        <w:t xml:space="preserve">Erstellt am:</w:t>
      </w:r>
      <w:r>
        <w:t xml:space="preserve"> </w:t>
      </w:r>
      <w:r>
        <w:t xml:space="preserve">[DATUM]</w:t>
      </w:r>
      <w:r>
        <w:br/>
      </w:r>
      <w:r>
        <w:rPr>
          <w:b/>
          <w:bCs/>
        </w:rPr>
        <w:t xml:space="preserve">Technisch geprüft am:</w:t>
      </w:r>
      <w:r>
        <w:t xml:space="preserve"> </w:t>
      </w:r>
      <w:r>
        <w:t xml:space="preserve">[DATUM]</w:t>
      </w:r>
      <w:r>
        <w:br/>
      </w:r>
      <w:r>
        <w:rPr>
          <w:b/>
          <w:bCs/>
        </w:rPr>
        <w:t xml:space="preserve">Rechtlich geprüft am:</w:t>
      </w:r>
      <w:r>
        <w:t xml:space="preserve"> </w:t>
      </w:r>
      <w:r>
        <w:t xml:space="preserve">[OFFEN]</w:t>
      </w:r>
      <w:r>
        <w:br/>
      </w:r>
      <w:r>
        <w:rPr>
          <w:b/>
          <w:bCs/>
        </w:rPr>
        <w:t xml:space="preserve">Steuerlich geprüft am:</w:t>
      </w:r>
      <w:r>
        <w:t xml:space="preserve"> </w:t>
      </w:r>
      <w:r>
        <w:t xml:space="preserve">[OFFEN]</w:t>
      </w:r>
      <w:r>
        <w:br/>
      </w:r>
      <w:r>
        <w:rPr>
          <w:b/>
          <w:bCs/>
        </w:rPr>
        <w:t xml:space="preserve">Freigegeben durch:</w:t>
      </w:r>
      <w:r>
        <w:t xml:space="preserve"> </w:t>
      </w:r>
      <w:r>
        <w:t xml:space="preserve">[OFFEN]</w:t>
      </w:r>
      <w:r>
        <w:br/>
      </w:r>
      <w:r>
        <w:rPr>
          <w:b/>
          <w:bCs/>
        </w:rPr>
        <w:t xml:space="preserve">Gültig ab:</w:t>
      </w:r>
      <w:r>
        <w:t xml:space="preserve"> </w:t>
      </w:r>
      <w:r>
        <w:t xml:space="preserve">[OFFEN]</w:t>
      </w:r>
      <w:r>
        <w:br/>
      </w:r>
      <w:r>
        <w:rPr>
          <w:b/>
          <w:bCs/>
        </w:rPr>
        <w:t xml:space="preserve">Dokumenthash:</w:t>
      </w:r>
      <w:r>
        <w:t xml:space="preserve"> </w:t>
      </w:r>
      <w:r>
        <w:t xml:space="preserve">[OFFEN]</w:t>
      </w:r>
    </w:p>
    <w:p>
      <w:r>
        <w:pict>
          <v:rect style="width:0;height:1.5pt" o:hralign="center" o:hrstd="t" o:hr="t"/>
        </w:pict>
      </w:r>
    </w:p>
    <w:bookmarkEnd w:id="199"/>
    <w:bookmarkStart w:id="200" w:name="anlage-a-veröffentlichungsgates"/>
    <w:p>
      <w:pPr>
        <w:pStyle w:val="Heading1"/>
      </w:pPr>
      <w:r>
        <w:t xml:space="preserve">Anlage A – Veröffentlichungsgates</w:t>
      </w:r>
    </w:p>
    <w:p>
      <w:pPr>
        <w:pStyle w:val="FirstParagraph"/>
      </w:pPr>
      <w:r>
        <w:t xml:space="preserve">Diese Leistungsbeschreibung darf nicht als verbindliche Production-Fassung veröffentlicht werden, solange folgende Punkte fehlen:</w:t>
      </w:r>
    </w:p>
    <w:p>
      <w:pPr>
        <w:pStyle w:val="SourceCode"/>
      </w:pPr>
      <w:r>
        <w:rPr>
          <w:rStyle w:val="VerbatimChar"/>
        </w:rPr>
        <w:t xml:space="preserve">Unternehmensdaten der WUXUAI GmbH</w:t>
      </w:r>
      <w:r>
        <w:br/>
      </w:r>
      <w:r>
        <w:rPr>
          <w:rStyle w:val="VerbatimChar"/>
        </w:rPr>
        <w:t xml:space="preserve">finale Tarifmatrix</w:t>
      </w:r>
      <w:r>
        <w:br/>
      </w:r>
      <w:r>
        <w:rPr>
          <w:rStyle w:val="VerbatimChar"/>
        </w:rPr>
        <w:t xml:space="preserve">finales Preismodell</w:t>
      </w:r>
      <w:r>
        <w:br/>
      </w:r>
      <w:r>
        <w:rPr>
          <w:rStyle w:val="VerbatimChar"/>
        </w:rPr>
        <w:t xml:space="preserve">Filiallimits</w:t>
      </w:r>
      <w:r>
        <w:br/>
      </w:r>
      <w:r>
        <w:rPr>
          <w:rStyle w:val="VerbatimChar"/>
        </w:rPr>
        <w:t xml:space="preserve">Nutzerlimits</w:t>
      </w:r>
      <w:r>
        <w:br/>
      </w:r>
      <w:r>
        <w:rPr>
          <w:rStyle w:val="VerbatimChar"/>
        </w:rPr>
        <w:t xml:space="preserve">Supportumfang</w:t>
      </w:r>
      <w:r>
        <w:br/>
      </w:r>
      <w:r>
        <w:rPr>
          <w:rStyle w:val="VerbatimChar"/>
        </w:rPr>
        <w:t xml:space="preserve">Browsermatrix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Backupparameter</w:t>
      </w:r>
      <w:r>
        <w:br/>
      </w:r>
      <w:r>
        <w:rPr>
          <w:rStyle w:val="VerbatimChar"/>
        </w:rPr>
        <w:t xml:space="preserve">Hostingregion</w:t>
      </w:r>
      <w:r>
        <w:br/>
      </w:r>
      <w:r>
        <w:rPr>
          <w:rStyle w:val="VerbatimChar"/>
        </w:rPr>
        <w:t xml:space="preserve">E-Mail-Anbieter</w:t>
      </w:r>
      <w:r>
        <w:br/>
      </w:r>
      <w:r>
        <w:rPr>
          <w:rStyle w:val="VerbatimChar"/>
        </w:rPr>
        <w:t xml:space="preserve">SMS-Anbieter</w:t>
      </w:r>
      <w:r>
        <w:br/>
      </w:r>
      <w:r>
        <w:rPr>
          <w:rStyle w:val="VerbatimChar"/>
        </w:rPr>
        <w:t xml:space="preserve">Push-Anbieter</w:t>
      </w:r>
      <w:r>
        <w:br/>
      </w:r>
      <w:r>
        <w:rPr>
          <w:rStyle w:val="VerbatimChar"/>
        </w:rPr>
        <w:t xml:space="preserve">Billingstatus</w:t>
      </w:r>
      <w:r>
        <w:br/>
      </w:r>
      <w:r>
        <w:rPr>
          <w:rStyle w:val="VerbatimChar"/>
        </w:rPr>
        <w:t xml:space="preserve">anwaltliche Freigabe</w:t>
      </w:r>
      <w:r>
        <w:br/>
      </w:r>
      <w:r>
        <w:rPr>
          <w:rStyle w:val="VerbatimChar"/>
        </w:rPr>
        <w:t xml:space="preserve">steuerliche Freigabe der Reward- und Billingteile</w:t>
      </w:r>
      <w:r>
        <w:br/>
      </w:r>
      <w:r>
        <w:rPr>
          <w:rStyle w:val="VerbatimChar"/>
        </w:rPr>
        <w:t xml:space="preserve">Accessibility-Test</w:t>
      </w:r>
    </w:p>
    <w:p>
      <w:r>
        <w:pict>
          <v:rect style="width:0;height:1.5pt" o:hralign="center" o:hrstd="t" o:hr="t"/>
        </w:pict>
      </w:r>
    </w:p>
    <w:bookmarkEnd w:id="200"/>
    <w:bookmarkStart w:id="201" w:name="anlage-b-technische-konsistenzprüfung"/>
    <w:p>
      <w:pPr>
        <w:pStyle w:val="Heading1"/>
      </w:pPr>
      <w:r>
        <w:t xml:space="preserve">Anlage B – Technische Konsistenzprüfung</w:t>
      </w:r>
    </w:p>
    <w:p>
      <w:pPr>
        <w:pStyle w:val="FirstParagraph"/>
      </w:pPr>
      <w:r>
        <w:t xml:space="preserve">Vor Veröffentlichung muss geprüft werden:</w:t>
      </w:r>
    </w:p>
    <w:p>
      <w:pPr>
        <w:pStyle w:val="Compact"/>
        <w:numPr>
          <w:ilvl w:val="0"/>
          <w:numId w:val="1086"/>
        </w:numPr>
      </w:pPr>
      <w:r>
        <w:t xml:space="preserve">Jede als enthalten markierte Funktion existiert im freigegebenen Production-Build.</w:t>
      </w:r>
    </w:p>
    <w:p>
      <w:pPr>
        <w:pStyle w:val="Compact"/>
        <w:numPr>
          <w:ilvl w:val="0"/>
          <w:numId w:val="1086"/>
        </w:numPr>
      </w:pPr>
      <w:r>
        <w:t xml:space="preserve">Jede tarifabhängige Funktion wird technisch nach Tarifstatus aktiviert.</w:t>
      </w:r>
    </w:p>
    <w:p>
      <w:pPr>
        <w:pStyle w:val="Compact"/>
        <w:numPr>
          <w:ilvl w:val="0"/>
          <w:numId w:val="1086"/>
        </w:numPr>
      </w:pPr>
      <w:r>
        <w:t xml:space="preserve">Keine Marketingseite verspricht eine nicht enthaltene Funktion.</w:t>
      </w:r>
    </w:p>
    <w:p>
      <w:pPr>
        <w:pStyle w:val="Compact"/>
        <w:numPr>
          <w:ilvl w:val="0"/>
          <w:numId w:val="1086"/>
        </w:numPr>
      </w:pPr>
      <w:r>
        <w:t xml:space="preserve">Trial- und Zahlungslogik entsprechen dem Bestellformular.</w:t>
      </w:r>
    </w:p>
    <w:p>
      <w:pPr>
        <w:pStyle w:val="Compact"/>
        <w:numPr>
          <w:ilvl w:val="0"/>
          <w:numId w:val="1086"/>
        </w:numPr>
      </w:pPr>
      <w:r>
        <w:t xml:space="preserve">Datenexport entspricht der Datenschutzerklärung.</w:t>
      </w:r>
    </w:p>
    <w:p>
      <w:pPr>
        <w:pStyle w:val="Compact"/>
        <w:numPr>
          <w:ilvl w:val="0"/>
          <w:numId w:val="1086"/>
        </w:numPr>
      </w:pPr>
      <w:r>
        <w:t xml:space="preserve">Legal Center entspricht den veröffentlichten Dokumenten.</w:t>
      </w:r>
    </w:p>
    <w:p>
      <w:pPr>
        <w:pStyle w:val="Compact"/>
        <w:numPr>
          <w:ilvl w:val="0"/>
          <w:numId w:val="1086"/>
        </w:numPr>
      </w:pPr>
      <w:r>
        <w:t xml:space="preserve">Punkte- und Rewardlogik entspricht den Teilnahmebedingungen.</w:t>
      </w:r>
    </w:p>
    <w:p>
      <w:pPr>
        <w:pStyle w:val="Compact"/>
        <w:numPr>
          <w:ilvl w:val="0"/>
          <w:numId w:val="1086"/>
        </w:numPr>
      </w:pPr>
      <w:r>
        <w:t xml:space="preserve">Programmende entspricht der Owner-Konfiguration.</w:t>
      </w:r>
    </w:p>
    <w:p>
      <w:pPr>
        <w:pStyle w:val="Compact"/>
        <w:numPr>
          <w:ilvl w:val="0"/>
          <w:numId w:val="1086"/>
        </w:numPr>
      </w:pPr>
      <w:r>
        <w:t xml:space="preserve">Consentlogik entspricht dem tatsächlichen Versand-Gate.</w:t>
      </w:r>
    </w:p>
    <w:p>
      <w:pPr>
        <w:pStyle w:val="Compact"/>
        <w:numPr>
          <w:ilvl w:val="0"/>
          <w:numId w:val="1086"/>
        </w:numPr>
      </w:pPr>
      <w:r>
        <w:t xml:space="preserve">Kartenfunktion besitzt eine Listenalternative.</w:t>
      </w:r>
    </w:p>
    <w:p>
      <w:pPr>
        <w:pStyle w:val="Compact"/>
        <w:numPr>
          <w:ilvl w:val="0"/>
          <w:numId w:val="1086"/>
        </w:numPr>
      </w:pPr>
      <w:r>
        <w:t xml:space="preserve">Service-Level entspricht der tatsächlichen Infrastruktur.</w:t>
      </w:r>
    </w:p>
    <w:p>
      <w:pPr>
        <w:pStyle w:val="Compact"/>
        <w:numPr>
          <w:ilvl w:val="0"/>
          <w:numId w:val="1086"/>
        </w:numPr>
      </w:pPr>
      <w:r>
        <w:t xml:space="preserve">Dokumentversion und Hash sind gespeichert.</w:t>
      </w:r>
    </w:p>
    <w:p>
      <w:r>
        <w:pict>
          <v:rect style="width:0;height:1.5pt" o:hralign="center" o:hrstd="t" o:hr="t"/>
        </w:pict>
      </w:r>
    </w:p>
    <w:bookmarkEnd w:id="201"/>
    <w:bookmarkStart w:id="202" w:name="Xa65fc7f030633b572b2b4cb9d52ae14713d43a6"/>
    <w:p>
      <w:pPr>
        <w:pStyle w:val="Heading1"/>
      </w:pPr>
      <w:r>
        <w:t xml:space="preserve">Anlage C – Nicht als Production-ready zu bezeichnende Module</w:t>
      </w:r>
    </w:p>
    <w:p>
      <w:pPr>
        <w:pStyle w:val="FirstParagraph"/>
      </w:pPr>
      <w:r>
        <w:t xml:space="preserve">Bis zur jeweiligen gesonderten Abnahme dürfen folgende Bereiche nicht als vollständig produktiv verfügbar beworben werden:</w:t>
      </w:r>
    </w:p>
    <w:p>
      <w:pPr>
        <w:pStyle w:val="SourceCode"/>
      </w:pPr>
      <w:r>
        <w:rPr>
          <w:rStyle w:val="VerbatimChar"/>
        </w:rPr>
        <w:t xml:space="preserve">Stripe Subscription Billing</w:t>
      </w:r>
      <w:r>
        <w:br/>
      </w:r>
      <w:r>
        <w:rPr>
          <w:rStyle w:val="VerbatimChar"/>
        </w:rPr>
        <w:t xml:space="preserve">automatische Rechnungserstellung</w:t>
      </w:r>
      <w:r>
        <w:br/>
      </w:r>
      <w:r>
        <w:rPr>
          <w:rStyle w:val="VerbatimChar"/>
        </w:rPr>
        <w:t xml:space="preserve">E-Mail-Kampagnen</w:t>
      </w:r>
      <w:r>
        <w:br/>
      </w:r>
      <w:r>
        <w:rPr>
          <w:rStyle w:val="VerbatimChar"/>
        </w:rPr>
        <w:t xml:space="preserve">SMS-Kampagnen</w:t>
      </w:r>
      <w:r>
        <w:br/>
      </w:r>
      <w:r>
        <w:rPr>
          <w:rStyle w:val="VerbatimChar"/>
        </w:rPr>
        <w:t xml:space="preserve">Push-Kampagnen</w:t>
      </w:r>
      <w:r>
        <w:br/>
      </w:r>
      <w:r>
        <w:rPr>
          <w:rStyle w:val="VerbatimChar"/>
        </w:rPr>
        <w:t xml:space="preserve">automatischer Geburtstagsversand</w:t>
      </w:r>
      <w:r>
        <w:br/>
      </w:r>
      <w:r>
        <w:rPr>
          <w:rStyle w:val="VerbatimChar"/>
        </w:rPr>
        <w:t xml:space="preserve">automatischer Punkteverfall-Versand</w:t>
      </w:r>
      <w:r>
        <w:br/>
      </w:r>
      <w:r>
        <w:rPr>
          <w:rStyle w:val="VerbatimChar"/>
        </w:rPr>
        <w:t xml:space="preserve">vollständiger Scheduler</w:t>
      </w:r>
      <w:r>
        <w:br/>
      </w:r>
      <w:r>
        <w:rPr>
          <w:rStyle w:val="VerbatimChar"/>
        </w:rPr>
        <w:t xml:space="preserve">steuerlich geprüfter Rewardexport</w:t>
      </w:r>
      <w:r>
        <w:br/>
      </w:r>
      <w:r>
        <w:rPr>
          <w:rStyle w:val="VerbatimChar"/>
        </w:rPr>
        <w:t xml:space="preserve">vollständige WCAG-/BaFG-Verifikation</w:t>
      </w:r>
      <w:r>
        <w:br/>
      </w:r>
      <w:r>
        <w:rPr>
          <w:rStyle w:val="VerbatimChar"/>
        </w:rPr>
        <w:t xml:space="preserve">native Mobile App</w:t>
      </w:r>
      <w:r>
        <w:br/>
      </w:r>
      <w:r>
        <w:rPr>
          <w:rStyle w:val="VerbatimChar"/>
        </w:rPr>
        <w:t xml:space="preserve">Prepaid Bonus</w:t>
      </w:r>
      <w:r>
        <w:br/>
      </w:r>
      <w:r>
        <w:rPr>
          <w:rStyle w:val="VerbatimChar"/>
        </w:rPr>
        <w:t xml:space="preserve">zentrale Wallet</w:t>
      </w:r>
      <w:r>
        <w:br/>
      </w:r>
      <w:r>
        <w:rPr>
          <w:rStyle w:val="VerbatimChar"/>
        </w:rPr>
        <w:t xml:space="preserve">restaurantübergreifende Punkte</w:t>
      </w:r>
    </w:p>
    <w:p>
      <w:r>
        <w:pict>
          <v:rect style="width:0;height:1.5pt" o:hralign="center" o:hrstd="t" o:hr="t"/>
        </w:pict>
      </w:r>
    </w:p>
    <w:bookmarkEnd w:id="202"/>
    <w:bookmarkStart w:id="203" w:name="anlage-d-juristische-prüfpunkte"/>
    <w:p>
      <w:pPr>
        <w:pStyle w:val="Heading1"/>
      </w:pPr>
      <w:r>
        <w:t xml:space="preserve">Anlage D – Juristische Prüfpunkte</w:t>
      </w:r>
    </w:p>
    <w:p>
      <w:pPr>
        <w:pStyle w:val="FirstParagraph"/>
      </w:pPr>
      <w:r>
        <w:t xml:space="preserve">Der Rechtsanwalt soll insbesondere prüfen:</w:t>
      </w:r>
    </w:p>
    <w:p>
      <w:pPr>
        <w:pStyle w:val="Compact"/>
        <w:numPr>
          <w:ilvl w:val="0"/>
          <w:numId w:val="1087"/>
        </w:numPr>
      </w:pPr>
      <w:r>
        <w:t xml:space="preserve">Abgrenzung SaaS-Anbieter und Bonusprogrammveranstalter;</w:t>
      </w:r>
    </w:p>
    <w:p>
      <w:pPr>
        <w:pStyle w:val="Compact"/>
        <w:numPr>
          <w:ilvl w:val="0"/>
          <w:numId w:val="1087"/>
        </w:numPr>
      </w:pPr>
      <w:r>
        <w:t xml:space="preserve">Leistungsversprechen bei Punkte- und Rewardfunktionen;</w:t>
      </w:r>
    </w:p>
    <w:p>
      <w:pPr>
        <w:pStyle w:val="Compact"/>
        <w:numPr>
          <w:ilvl w:val="0"/>
          <w:numId w:val="1087"/>
        </w:numPr>
      </w:pPr>
      <w:r>
        <w:t xml:space="preserve">Einordnung der passwortlosen Gastidentität;</w:t>
      </w:r>
    </w:p>
    <w:p>
      <w:pPr>
        <w:pStyle w:val="Compact"/>
        <w:numPr>
          <w:ilvl w:val="0"/>
          <w:numId w:val="1087"/>
        </w:numPr>
      </w:pPr>
      <w:r>
        <w:t xml:space="preserve">Abgrenzung transaktionaler und werblicher Nachrichten;</w:t>
      </w:r>
    </w:p>
    <w:p>
      <w:pPr>
        <w:pStyle w:val="Compact"/>
        <w:numPr>
          <w:ilvl w:val="0"/>
          <w:numId w:val="1087"/>
        </w:numPr>
      </w:pPr>
      <w:r>
        <w:t xml:space="preserve">Haftung bei technischer Fehlbuchung;</w:t>
      </w:r>
    </w:p>
    <w:p>
      <w:pPr>
        <w:pStyle w:val="Compact"/>
        <w:numPr>
          <w:ilvl w:val="0"/>
          <w:numId w:val="1087"/>
        </w:numPr>
      </w:pPr>
      <w:r>
        <w:t xml:space="preserve">Haftung bei nicht verfügbarem Restaurantreward;</w:t>
      </w:r>
    </w:p>
    <w:p>
      <w:pPr>
        <w:pStyle w:val="Compact"/>
        <w:numPr>
          <w:ilvl w:val="0"/>
          <w:numId w:val="1087"/>
        </w:numPr>
      </w:pPr>
      <w:r>
        <w:t xml:space="preserve">Wirkung des Legal-Readiness-Gates;</w:t>
      </w:r>
    </w:p>
    <w:p>
      <w:pPr>
        <w:pStyle w:val="Compact"/>
        <w:numPr>
          <w:ilvl w:val="0"/>
          <w:numId w:val="1087"/>
        </w:numPr>
      </w:pPr>
      <w:r>
        <w:t xml:space="preserve">Programmbeendigungsworkflow;</w:t>
      </w:r>
    </w:p>
    <w:p>
      <w:pPr>
        <w:pStyle w:val="Compact"/>
        <w:numPr>
          <w:ilvl w:val="0"/>
          <w:numId w:val="1087"/>
        </w:numPr>
      </w:pPr>
      <w:r>
        <w:t xml:space="preserve">Datenexport- und Löschfunktionen;</w:t>
      </w:r>
    </w:p>
    <w:p>
      <w:pPr>
        <w:pStyle w:val="Compact"/>
        <w:numPr>
          <w:ilvl w:val="0"/>
          <w:numId w:val="1087"/>
        </w:numPr>
      </w:pPr>
      <w:r>
        <w:t xml:space="preserve">Barrierefreiheitsumfang;</w:t>
      </w:r>
    </w:p>
    <w:p>
      <w:pPr>
        <w:pStyle w:val="Compact"/>
        <w:numPr>
          <w:ilvl w:val="0"/>
          <w:numId w:val="1087"/>
        </w:numPr>
      </w:pPr>
      <w:r>
        <w:t xml:space="preserve">Browser- und Drittanbieterabhängigkeiten;</w:t>
      </w:r>
    </w:p>
    <w:p>
      <w:pPr>
        <w:pStyle w:val="Compact"/>
        <w:numPr>
          <w:ilvl w:val="0"/>
          <w:numId w:val="1087"/>
        </w:numPr>
      </w:pPr>
      <w:r>
        <w:t xml:space="preserve">Zulässigkeit tarifabhängiger Leistungsänderungen;</w:t>
      </w:r>
    </w:p>
    <w:p>
      <w:pPr>
        <w:pStyle w:val="Compact"/>
        <w:numPr>
          <w:ilvl w:val="0"/>
          <w:numId w:val="1087"/>
        </w:numPr>
      </w:pPr>
      <w:r>
        <w:t xml:space="preserve">Definition geschuldeter Verfügbarkeit;</w:t>
      </w:r>
    </w:p>
    <w:p>
      <w:pPr>
        <w:pStyle w:val="Compact"/>
        <w:numPr>
          <w:ilvl w:val="0"/>
          <w:numId w:val="1087"/>
        </w:numPr>
      </w:pPr>
      <w:r>
        <w:t xml:space="preserve">Abnahme und Mängelbegriff;</w:t>
      </w:r>
    </w:p>
    <w:p>
      <w:pPr>
        <w:pStyle w:val="Compact"/>
        <w:numPr>
          <w:ilvl w:val="0"/>
          <w:numId w:val="1087"/>
        </w:numPr>
      </w:pPr>
      <w:r>
        <w:t xml:space="preserve">Ausschluss nicht produktiver Module.</w:t>
      </w:r>
    </w:p>
    <w:p>
      <w:r>
        <w:pict>
          <v:rect style="width:0;height:1.5pt" o:hralign="center" o:hrstd="t" o:hr="t"/>
        </w:pict>
      </w:r>
    </w:p>
    <w:bookmarkEnd w:id="203"/>
    <w:bookmarkStart w:id="204" w:name="freigabestatus"/>
    <w:p>
      <w:pPr>
        <w:pStyle w:val="Heading1"/>
      </w:pPr>
      <w:r>
        <w:t xml:space="preserve">Freigabestatus</w:t>
      </w:r>
    </w:p>
    <w:p>
      <w:pPr>
        <w:pStyle w:val="FirstParagraph"/>
      </w:pPr>
      <w:r>
        <w:rPr>
          <w:b/>
          <w:bCs/>
        </w:rPr>
        <w:t xml:space="preserve">Technischer Leistungsumfang beschrieben:</w:t>
      </w:r>
      <w:r>
        <w:t xml:space="preserve"> </w:t>
      </w:r>
      <w:r>
        <w:t xml:space="preserve">Ja</w:t>
      </w:r>
      <w:r>
        <w:br/>
      </w:r>
      <w:r>
        <w:rPr>
          <w:b/>
          <w:bCs/>
        </w:rPr>
        <w:t xml:space="preserve">Tarifumfang final:</w:t>
      </w:r>
      <w:r>
        <w:t xml:space="preserve"> </w:t>
      </w:r>
      <w:r>
        <w:t xml:space="preserve">Nein</w:t>
      </w:r>
      <w:r>
        <w:br/>
      </w:r>
      <w:r>
        <w:rPr>
          <w:b/>
          <w:bCs/>
        </w:rPr>
        <w:t xml:space="preserve">Billing final:</w:t>
      </w:r>
      <w:r>
        <w:t xml:space="preserve"> </w:t>
      </w:r>
      <w:r>
        <w:t xml:space="preserve">Nein</w:t>
      </w:r>
      <w:r>
        <w:br/>
      </w:r>
      <w:r>
        <w:rPr>
          <w:b/>
          <w:bCs/>
        </w:rPr>
        <w:t xml:space="preserve">Kommunikationsmodule final:</w:t>
      </w:r>
      <w:r>
        <w:t xml:space="preserve"> </w:t>
      </w:r>
      <w:r>
        <w:t xml:space="preserve">Nein</w:t>
      </w:r>
      <w:r>
        <w:br/>
      </w:r>
      <w:r>
        <w:rPr>
          <w:b/>
          <w:bCs/>
        </w:rPr>
        <w:t xml:space="preserve">SLA final:</w:t>
      </w:r>
      <w:r>
        <w:t xml:space="preserve"> </w:t>
      </w:r>
      <w:r>
        <w:t xml:space="preserve">Nein</w:t>
      </w:r>
      <w:r>
        <w:br/>
      </w:r>
      <w:r>
        <w:rPr>
          <w:b/>
          <w:bCs/>
        </w:rPr>
        <w:t xml:space="preserve">Anwaltlich geprüft:</w:t>
      </w:r>
      <w:r>
        <w:t xml:space="preserve"> </w:t>
      </w:r>
      <w:r>
        <w:t xml:space="preserve">Nein</w:t>
      </w:r>
      <w:r>
        <w:br/>
      </w:r>
      <w:r>
        <w:rPr>
          <w:b/>
          <w:bCs/>
        </w:rPr>
        <w:t xml:space="preserve">Steuerlich geprüft:</w:t>
      </w:r>
      <w:r>
        <w:t xml:space="preserve"> </w:t>
      </w:r>
      <w:r>
        <w:t xml:space="preserve">Nein</w:t>
      </w:r>
      <w:r>
        <w:br/>
      </w:r>
      <w:r>
        <w:rPr>
          <w:b/>
          <w:bCs/>
        </w:rPr>
        <w:t xml:space="preserve">Production-Fassung:</w:t>
      </w:r>
      <w:r>
        <w:t xml:space="preserve"> </w:t>
      </w:r>
      <w:r>
        <w:t xml:space="preserve">Nein</w:t>
      </w:r>
    </w:p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2026-07-25T23:14:53Z</dcterms:created>
  <dcterms:modified xsi:type="dcterms:W3CDTF">2026-07-25T23:14:53Z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