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09DE8">
      <w:pPr>
        <w:pStyle w:val="2"/>
        <w:bidi w:val="0"/>
        <w:jc w:val="center"/>
        <w:rPr>
          <w:rFonts w:hint="default"/>
          <w:b/>
          <w:bCs/>
          <w:lang w:val="en-US" w:eastAsia="zh-CN"/>
        </w:rPr>
      </w:pPr>
      <w:r>
        <w:rPr>
          <w:rFonts w:hint="eastAsia"/>
          <w:lang w:val="en-US" w:eastAsia="zh-CN"/>
        </w:rPr>
        <w:t>因子规范v1版本：202605</w:t>
      </w:r>
    </w:p>
    <w:p w14:paraId="16B45CEA">
      <w:pPr>
        <w:pStyle w:val="3"/>
        <w:numPr>
          <w:ilvl w:val="0"/>
          <w:numId w:val="1"/>
        </w:numPr>
        <w:bidi w:val="0"/>
        <w:rPr>
          <w:rFonts w:hint="eastAsia"/>
          <w:lang w:val="en-US" w:eastAsia="zh-CN"/>
        </w:rPr>
      </w:pPr>
      <w:r>
        <w:rPr>
          <w:rFonts w:hint="eastAsia"/>
          <w:lang w:val="en-US" w:eastAsia="zh-CN"/>
        </w:rPr>
        <w:t>因子开发</w:t>
      </w:r>
    </w:p>
    <w:p w14:paraId="7B1A44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b/>
          <w:bCs/>
          <w:lang w:val="en-US" w:eastAsia="zh-CN"/>
        </w:rPr>
        <w:t>1、因子开发中的统一定义：</w:t>
      </w:r>
      <w:r>
        <w:rPr>
          <w:rFonts w:hint="eastAsia"/>
          <w:lang w:val="en-US" w:eastAsia="zh-CN"/>
        </w:rPr>
        <w:t>如需对数据进行筛选，为了便于数据预处理，避免参数过拟合，一般使用统一的定义，如果没有使用标准方法，需要在因子逻辑里说明原因。（1）单子大小方面：统一规定大单为成交金额&gt;=20万元，中单定义为[5万元，20万元)，小单定义为&lt;5万元；（2）触发前区间截取方面：</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5747"/>
      </w:tblGrid>
      <w:tr w14:paraId="2F83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5" w:type="dxa"/>
          </w:tcPr>
          <w:p w14:paraId="7E7F91E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使用时间进行截取</w:t>
            </w:r>
          </w:p>
        </w:tc>
        <w:tc>
          <w:tcPr>
            <w:tcW w:w="5747" w:type="dxa"/>
          </w:tcPr>
          <w:p w14:paraId="0D5255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可选时间包括30秒、1分钟、5分钟</w:t>
            </w:r>
          </w:p>
        </w:tc>
      </w:tr>
      <w:tr w14:paraId="5819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5" w:type="dxa"/>
          </w:tcPr>
          <w:p w14:paraId="0F52C5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使用成交量占比进行截取</w:t>
            </w:r>
          </w:p>
        </w:tc>
        <w:tc>
          <w:tcPr>
            <w:tcW w:w="5747" w:type="dxa"/>
          </w:tcPr>
          <w:p w14:paraId="6FB03B4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可选的占比包括2%、5%、10%</w:t>
            </w:r>
          </w:p>
        </w:tc>
      </w:tr>
      <w:tr w14:paraId="296C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5" w:type="dxa"/>
          </w:tcPr>
          <w:p w14:paraId="1A2EC5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使用订单数量进行截取</w:t>
            </w:r>
          </w:p>
        </w:tc>
        <w:tc>
          <w:tcPr>
            <w:tcW w:w="5747" w:type="dxa"/>
          </w:tcPr>
          <w:p w14:paraId="7CDFB2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可选的订单数量包括100单、500单、1000单</w:t>
            </w:r>
          </w:p>
        </w:tc>
      </w:tr>
      <w:tr w14:paraId="5760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5" w:type="dxa"/>
          </w:tcPr>
          <w:p w14:paraId="13F1EB4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使用涨跌幅角度进行截取</w:t>
            </w:r>
          </w:p>
        </w:tc>
        <w:tc>
          <w:tcPr>
            <w:tcW w:w="5747" w:type="dxa"/>
          </w:tcPr>
          <w:p w14:paraId="72E384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可选的涨跌幅起点包括9%、9.5%、9.8%（注册制样本*2）</w:t>
            </w:r>
          </w:p>
        </w:tc>
      </w:tr>
    </w:tbl>
    <w:p w14:paraId="573EAD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color w:val="auto"/>
          <w:lang w:val="en-US" w:eastAsia="zh-CN"/>
        </w:rPr>
      </w:pPr>
      <w:r>
        <w:rPr>
          <w:rFonts w:hint="eastAsia"/>
          <w:b/>
          <w:bCs/>
          <w:color w:val="auto"/>
          <w:lang w:val="en-US" w:eastAsia="zh-CN"/>
        </w:rPr>
        <w:t>2、低耗时：</w:t>
      </w:r>
      <w:r>
        <w:rPr>
          <w:rFonts w:hint="eastAsia"/>
          <w:color w:val="auto"/>
          <w:lang w:val="en-US" w:eastAsia="zh-CN"/>
        </w:rPr>
        <w:t>开发Europa/Jupiter策略的TTransaction、TOrder、全息盘口类因子时需要控制因子耗时，注意以下几点：（1）避免对全部数据进行不能增量计算预处理的复杂操作，例如排序、spearman相关系数、回归等；（2）避免触发时刻才能进行的筛选，特别是筛选后数据仍较多的情况，例如大于全部trade的成交金额均值的部分、排序前20%的部分、成交量占比20%的部分等；（3）推荐使用较短周期的数据计算因子，例如触发前一分钟、触发前100单、涨幅首次超过9%（注册制样本*2）等。而TTick因子数据量较少，耗时相对较低，只需要避免不能增量计算预处理的复杂，例如排序、spearman相关系数等。</w:t>
      </w:r>
    </w:p>
    <w:p w14:paraId="551914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b/>
          <w:bCs/>
          <w:lang w:val="en-US" w:eastAsia="zh-CN"/>
        </w:rPr>
        <w:t>3、注册制样本处理：</w:t>
      </w:r>
      <w:r>
        <w:rPr>
          <w:rFonts w:hint="eastAsia"/>
          <w:lang w:val="en-US" w:eastAsia="zh-CN"/>
        </w:rPr>
        <w:t>若因子逻辑涉及到最大股数、涨跌停幅度等与注册制相关的特性，那么最终的因子值需要考虑注册制样本与非注册制样本在交易特性上的差异。如果两类样本的因子值分布存在明显差异，则需要对注册制样本的因子值进行处理，使其与非注册制样本的因子值分布接近。一般情况下涨幅直接除以2，而对于使用过去多日涨幅的因子，则建议使用正负10%截断处理。</w:t>
      </w:r>
    </w:p>
    <w:p w14:paraId="7B6C39D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b/>
          <w:bCs/>
          <w:lang w:val="en-US" w:eastAsia="zh-CN"/>
        </w:rPr>
        <w:t>4、缺失处理：</w:t>
      </w:r>
      <w:r>
        <w:rPr>
          <w:rFonts w:hint="eastAsia"/>
          <w:lang w:val="en-US" w:eastAsia="zh-CN"/>
        </w:rPr>
        <w:t>填充值不能全部默认为0或者1，而是应该结合因子值的分布与收益分组共同决定。例如一个因子按因子值分组后各组收益率均值为单调变化，填充值可以填为中位数。缺失一般不要在因子代码里进行填充，因子框架中会调用因子代码的填充值统一处理。</w:t>
      </w:r>
    </w:p>
    <w:p w14:paraId="267FED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color w:val="000000" w:themeColor="text1"/>
          <w:lang w:val="en-US" w:eastAsia="zh-CN"/>
          <w14:textFill>
            <w14:solidFill>
              <w14:schemeClr w14:val="tx1"/>
            </w14:solidFill>
          </w14:textFill>
        </w:rPr>
      </w:pPr>
      <w:r>
        <w:rPr>
          <w:rFonts w:hint="eastAsia"/>
          <w:b/>
          <w:bCs/>
          <w:lang w:val="en-US" w:eastAsia="zh-CN"/>
        </w:rPr>
        <w:t>5、停牌样本处理：</w:t>
      </w:r>
      <w:r>
        <w:rPr>
          <w:rFonts w:hint="eastAsia"/>
          <w:lang w:val="en-US" w:eastAsia="zh-CN"/>
        </w:rPr>
        <w:t>对于只使用前一个交易日的数据的T-1_factor类别因子，若前一个交易日为停牌日，则因子值可能为nan，此时需要用前一个非停牌交易日</w:t>
      </w:r>
      <w:r>
        <w:rPr>
          <w:rFonts w:hint="eastAsia"/>
          <w:color w:val="000000" w:themeColor="text1"/>
          <w:lang w:val="en-US" w:eastAsia="zh-CN"/>
          <w14:textFill>
            <w14:solidFill>
              <w14:schemeClr w14:val="tx1"/>
            </w14:solidFill>
          </w14:textFill>
        </w:rPr>
        <w:t>的因子值进行填充。操作样例：df[</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factor</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 df[</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factor</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].unstack().fillna(method=</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ffill</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,limit=20).stack()，其中参数limit是为了控制最大使用数据的日期长度，避免长短周期计算因子值不一致。如果使用rolling需要对参数min_periods做设置，避免在回望周期中出现少数停牌日影响最终的计算结果。</w:t>
      </w:r>
    </w:p>
    <w:p w14:paraId="675220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6、撤单数据处理：</w:t>
      </w:r>
      <w:r>
        <w:rPr>
          <w:rFonts w:hint="eastAsia"/>
          <w:color w:val="000000" w:themeColor="text1"/>
          <w:lang w:val="en-US" w:eastAsia="zh-CN"/>
          <w14:textFill>
            <w14:solidFill>
              <w14:schemeClr w14:val="tx1"/>
            </w14:solidFill>
          </w14:textFill>
        </w:rPr>
        <w:t>开发TTransaction类别因子，如果不是特别需求，在使用trade数据时需要删除trade数据中的撤单数据，操作样例：df = df[df[</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TradePrice</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]&gt;0]。</w:t>
      </w:r>
    </w:p>
    <w:p w14:paraId="485A32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7、特殊样本处理：</w:t>
      </w:r>
      <w:r>
        <w:rPr>
          <w:rFonts w:hint="eastAsia"/>
          <w:color w:val="000000" w:themeColor="text1"/>
          <w:lang w:val="en-US" w:eastAsia="zh-CN"/>
          <w14:textFill>
            <w14:solidFill>
              <w14:schemeClr w14:val="tx1"/>
            </w14:solidFill>
          </w14:textFill>
        </w:rPr>
        <w:t>开发T日因子时，对于早期2016年的少数行情缺失样本，筛选数据后有效数据为空，因子需要能够处理这种情况，不报错。</w:t>
      </w:r>
    </w:p>
    <w:p w14:paraId="5E04B0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8、涨跌停价格处理：</w:t>
      </w:r>
      <w:r>
        <w:rPr>
          <w:rFonts w:hint="eastAsia"/>
          <w:color w:val="000000" w:themeColor="text1"/>
          <w:lang w:val="en-US" w:eastAsia="zh-CN"/>
          <w14:textFill>
            <w14:solidFill>
              <w14:schemeClr w14:val="tx1"/>
            </w14:solidFill>
          </w14:textFill>
        </w:rPr>
        <w:t>由于python精度原因易出错，使用股票涨跌停价格，</w:t>
      </w:r>
      <w:r>
        <w:rPr>
          <w:rFonts w:hint="eastAsia"/>
          <w:color w:val="FF0000"/>
          <w:lang w:val="en-US" w:eastAsia="zh-CN"/>
        </w:rPr>
        <w:t>后续在因子数据中加入了涨跌停价格字段后需统一使用字段</w:t>
      </w:r>
      <w:r>
        <w:rPr>
          <w:rFonts w:hint="eastAsia"/>
          <w:color w:val="000000" w:themeColor="text1"/>
          <w:lang w:val="en-US" w:eastAsia="zh-CN"/>
          <w14:textFill>
            <w14:solidFill>
              <w14:schemeClr w14:val="tx1"/>
            </w14:solidFill>
          </w14:textFill>
        </w:rPr>
        <w:t>，而已有因子，或者计算x%涨幅对应的价格时，建议使用以下样例：</w:t>
      </w:r>
    </w:p>
    <w:p w14:paraId="7352B17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sz w:val="15"/>
          <w:szCs w:val="18"/>
          <w:lang w:val="en-US" w:eastAsia="zh-CN"/>
        </w:rPr>
      </w:pPr>
      <w:r>
        <w:rPr>
          <w:rFonts w:hint="eastAsia"/>
          <w:sz w:val="15"/>
          <w:szCs w:val="18"/>
          <w:lang w:val="en-US" w:eastAsia="zh-CN"/>
        </w:rPr>
        <w:t>md['zcz']=(((md.reset_index()['Ticker'].apply(lambda x:x[0:2]=='30'))&amp;(md.reset_index()['dt']&gt;='2020-08-24'))</w:t>
      </w:r>
    </w:p>
    <w:p w14:paraId="68BBCFC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sz w:val="15"/>
          <w:szCs w:val="18"/>
          <w:lang w:val="en-US" w:eastAsia="zh-CN"/>
        </w:rPr>
      </w:pPr>
      <w:r>
        <w:rPr>
          <w:rFonts w:hint="eastAsia"/>
          <w:sz w:val="15"/>
          <w:szCs w:val="18"/>
          <w:lang w:val="en-US" w:eastAsia="zh-CN"/>
        </w:rPr>
        <w:t>|(md.reset_index()['Ticker'].apply(lambda x:x[0:2]=='68'))).values</w:t>
      </w:r>
    </w:p>
    <w:p w14:paraId="222E206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sz w:val="15"/>
          <w:szCs w:val="18"/>
          <w:lang w:val="en-US" w:eastAsia="zh-CN"/>
        </w:rPr>
      </w:pPr>
      <w:r>
        <w:rPr>
          <w:rFonts w:hint="eastAsia"/>
          <w:sz w:val="15"/>
          <w:szCs w:val="18"/>
          <w:lang w:val="en-US" w:eastAsia="zh-CN"/>
        </w:rPr>
        <w:t>zt_price = np.floor(md['pre_close'] * 100 * 1.1 + 0.5</w:t>
      </w:r>
      <w:r>
        <w:rPr>
          <w:rFonts w:hint="eastAsia"/>
          <w:color w:val="FF0000"/>
          <w:sz w:val="15"/>
          <w:szCs w:val="18"/>
          <w:lang w:val="en-US" w:eastAsia="zh-CN"/>
        </w:rPr>
        <w:t>+1e-8</w:t>
      </w:r>
      <w:r>
        <w:rPr>
          <w:rFonts w:hint="eastAsia"/>
          <w:sz w:val="15"/>
          <w:szCs w:val="18"/>
          <w:lang w:val="en-US" w:eastAsia="zh-CN"/>
        </w:rPr>
        <w:t>) / 100</w:t>
      </w:r>
    </w:p>
    <w:p w14:paraId="7BD312F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sz w:val="15"/>
          <w:szCs w:val="18"/>
          <w:lang w:val="en-US" w:eastAsia="zh-CN"/>
        </w:rPr>
      </w:pPr>
      <w:r>
        <w:rPr>
          <w:rFonts w:hint="eastAsia"/>
          <w:sz w:val="15"/>
          <w:szCs w:val="18"/>
          <w:lang w:val="en-US" w:eastAsia="zh-CN"/>
        </w:rPr>
        <w:t>zt_price[md['zcz']] = np.floor(md['pre_close'] * 100 * 1.2 + 0.5</w:t>
      </w:r>
      <w:r>
        <w:rPr>
          <w:rFonts w:hint="eastAsia"/>
          <w:color w:val="FF0000"/>
          <w:sz w:val="15"/>
          <w:szCs w:val="18"/>
          <w:lang w:val="en-US" w:eastAsia="zh-CN"/>
        </w:rPr>
        <w:t>+1e-8</w:t>
      </w:r>
      <w:r>
        <w:rPr>
          <w:rFonts w:hint="eastAsia"/>
          <w:sz w:val="15"/>
          <w:szCs w:val="18"/>
          <w:lang w:val="en-US" w:eastAsia="zh-CN"/>
        </w:rPr>
        <w:t>) / 100</w:t>
      </w:r>
    </w:p>
    <w:p w14:paraId="7CAF8C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sz w:val="15"/>
          <w:szCs w:val="18"/>
          <w:lang w:val="en-US" w:eastAsia="zh-CN"/>
        </w:rPr>
      </w:pPr>
      <w:r>
        <w:rPr>
          <w:rFonts w:hint="eastAsia"/>
          <w:sz w:val="15"/>
          <w:szCs w:val="18"/>
          <w:lang w:val="en-US" w:eastAsia="zh-CN"/>
        </w:rPr>
        <w:t>dt_price = np.floor(md['pre_close'] * 100 * 0.9 + 0.5</w:t>
      </w:r>
      <w:r>
        <w:rPr>
          <w:rFonts w:hint="eastAsia"/>
          <w:color w:val="FF0000"/>
          <w:sz w:val="15"/>
          <w:szCs w:val="18"/>
          <w:lang w:val="en-US" w:eastAsia="zh-CN"/>
        </w:rPr>
        <w:t>+1e-8</w:t>
      </w:r>
      <w:r>
        <w:rPr>
          <w:rFonts w:hint="eastAsia"/>
          <w:sz w:val="15"/>
          <w:szCs w:val="18"/>
          <w:lang w:val="en-US" w:eastAsia="zh-CN"/>
        </w:rPr>
        <w:t>) / 100</w:t>
      </w:r>
    </w:p>
    <w:p w14:paraId="5DC64E7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sz w:val="15"/>
          <w:szCs w:val="18"/>
          <w:lang w:val="en-US" w:eastAsia="zh-CN"/>
        </w:rPr>
      </w:pPr>
      <w:r>
        <w:rPr>
          <w:rFonts w:hint="eastAsia"/>
          <w:sz w:val="15"/>
          <w:szCs w:val="18"/>
          <w:lang w:val="en-US" w:eastAsia="zh-CN"/>
        </w:rPr>
        <w:t>dt_price[md['zcz']] = np.floor(md['pre_close'] * 100 * 0.8 + 0.5</w:t>
      </w:r>
      <w:r>
        <w:rPr>
          <w:rFonts w:hint="eastAsia"/>
          <w:color w:val="FF0000"/>
          <w:sz w:val="15"/>
          <w:szCs w:val="18"/>
          <w:lang w:val="en-US" w:eastAsia="zh-CN"/>
        </w:rPr>
        <w:t>+1e-8</w:t>
      </w:r>
      <w:r>
        <w:rPr>
          <w:rFonts w:hint="eastAsia"/>
          <w:sz w:val="15"/>
          <w:szCs w:val="18"/>
          <w:lang w:val="en-US" w:eastAsia="zh-CN"/>
        </w:rPr>
        <w:t>) / 100</w:t>
      </w:r>
    </w:p>
    <w:p w14:paraId="7B9B002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color w:val="FF0000"/>
          <w:lang w:val="en-US" w:eastAsia="zh-CN"/>
        </w:rPr>
      </w:pPr>
      <w:r>
        <w:rPr>
          <w:rFonts w:hint="eastAsia"/>
          <w:b/>
          <w:bCs/>
          <w:color w:val="FF0000"/>
          <w:lang w:val="en-US" w:eastAsia="zh-CN"/>
        </w:rPr>
        <w:t>时间区间筛选：</w:t>
      </w:r>
      <w:r>
        <w:rPr>
          <w:rFonts w:hint="eastAsia"/>
          <w:color w:val="FF0000"/>
          <w:lang w:val="en-US" w:eastAsia="zh-CN"/>
        </w:rPr>
        <w:t>需要筛选时间窗口的数据时，为了便于实盘数据预处理，请使用闭区间，例如&gt;=触发前一分钟，例如筛选连续竞价时，df = df[df[</w:t>
      </w:r>
      <w:r>
        <w:rPr>
          <w:rFonts w:hint="default"/>
          <w:color w:val="FF0000"/>
          <w:lang w:val="en-US" w:eastAsia="zh-CN"/>
        </w:rPr>
        <w:t>‘</w:t>
      </w:r>
      <w:r>
        <w:rPr>
          <w:rFonts w:hint="eastAsia"/>
          <w:color w:val="FF0000"/>
          <w:lang w:val="en-US" w:eastAsia="zh-CN"/>
        </w:rPr>
        <w:t>MDTime</w:t>
      </w:r>
      <w:r>
        <w:rPr>
          <w:rFonts w:hint="default"/>
          <w:color w:val="FF0000"/>
          <w:lang w:val="en-US" w:eastAsia="zh-CN"/>
        </w:rPr>
        <w:t>’</w:t>
      </w:r>
      <w:r>
        <w:rPr>
          <w:rFonts w:hint="eastAsia"/>
          <w:color w:val="FF0000"/>
          <w:lang w:val="en-US" w:eastAsia="zh-CN"/>
        </w:rPr>
        <w:t>]&gt;=93000000]，不要使用df = df[df[</w:t>
      </w:r>
      <w:r>
        <w:rPr>
          <w:rFonts w:hint="default"/>
          <w:color w:val="FF0000"/>
          <w:lang w:val="en-US" w:eastAsia="zh-CN"/>
        </w:rPr>
        <w:t>‘</w:t>
      </w:r>
      <w:r>
        <w:rPr>
          <w:rFonts w:hint="eastAsia"/>
          <w:color w:val="FF0000"/>
          <w:lang w:val="en-US" w:eastAsia="zh-CN"/>
        </w:rPr>
        <w:t>MDTime</w:t>
      </w:r>
      <w:r>
        <w:rPr>
          <w:rFonts w:hint="default"/>
          <w:color w:val="FF0000"/>
          <w:lang w:val="en-US" w:eastAsia="zh-CN"/>
        </w:rPr>
        <w:t>’</w:t>
      </w:r>
      <w:r>
        <w:rPr>
          <w:rFonts w:hint="eastAsia"/>
          <w:color w:val="FF0000"/>
          <w:lang w:val="en-US" w:eastAsia="zh-CN"/>
        </w:rPr>
        <w:t>]&gt;93000000]。</w:t>
      </w:r>
    </w:p>
    <w:p w14:paraId="3085E30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每单规模：</w:t>
      </w:r>
      <w:r>
        <w:rPr>
          <w:rFonts w:hint="eastAsia"/>
          <w:color w:val="000000" w:themeColor="text1"/>
          <w:lang w:val="en-US" w:eastAsia="zh-CN"/>
          <w14:textFill>
            <w14:solidFill>
              <w14:schemeClr w14:val="tx1"/>
            </w14:solidFill>
          </w14:textFill>
        </w:rPr>
        <w:t>之前使用逐笔成交开发因子时，经常采用groupby计算每单规模等，目前已添加逐笔委托数据，建议直接使用逐笔委托数据，减少groupby操作。</w:t>
      </w:r>
    </w:p>
    <w:p w14:paraId="3A9B9F02">
      <w:pPr>
        <w:pStyle w:val="3"/>
        <w:numPr>
          <w:ilvl w:val="0"/>
          <w:numId w:val="1"/>
        </w:numPr>
        <w:bidi w:val="0"/>
        <w:rPr>
          <w:rFonts w:hint="eastAsia"/>
          <w:lang w:val="en-US" w:eastAsia="zh-CN"/>
        </w:rPr>
      </w:pPr>
      <w:r>
        <w:rPr>
          <w:rFonts w:hint="eastAsia"/>
          <w:lang w:val="en-US" w:eastAsia="zh-CN"/>
        </w:rPr>
        <w:t>因子提交入库</w:t>
      </w:r>
    </w:p>
    <w:p w14:paraId="7E6FC8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lang w:val="en-US" w:eastAsia="zh-CN"/>
        </w:rPr>
      </w:pPr>
      <w:r>
        <w:rPr>
          <w:rFonts w:hint="eastAsia"/>
          <w:b/>
          <w:bCs/>
          <w:lang w:val="en-US" w:eastAsia="zh-CN"/>
        </w:rPr>
        <w:t>1、流程介绍：</w:t>
      </w:r>
    </w:p>
    <w:p w14:paraId="63F2E28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因子提交：因子提交前需自行检查本节各项检测。每周四晚上前提交本周开发因子，每周五统一进行入库，提交包括以下三方面内容，（1）因子代码；（2）因子列表，包括“因子名称”、“提交日期”、“因子类别”、“因子逻辑”、“填充值”、“是否针对注册制做调整”、“T-1日类别”、“逻辑类别”、“是否低耗时因子”等；（3）相关思考。</w:t>
      </w:r>
    </w:p>
    <w:p w14:paraId="6B07D7C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因子入库：因子入库是根据因子的样本内外表现进行入库测试，包括相关性、因子线性打分等，若库中存在高相关因子，如果新因子表现较差，则不入库，反之新因子入库，库中因子出库。</w:t>
      </w:r>
    </w:p>
    <w:p w14:paraId="2186BF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b/>
          <w:bCs/>
          <w:lang w:val="en-US" w:eastAsia="zh-CN"/>
        </w:rPr>
        <w:t>2、类别介绍：</w:t>
      </w:r>
      <w:r>
        <w:rPr>
          <w:rFonts w:hint="eastAsia"/>
          <w:lang w:val="en-US" w:eastAsia="zh-CN"/>
        </w:rPr>
        <w:t>（1）“T-1日类别”，对于T-1_factor类别的因子，如果只使用T-1日一天的数据，则取值为“T-1”，如果使用了多日数据，则取值为“T-N”；（2）“逻辑类别”，目前对T日高频因子进行了逻辑分类，需要写明所属类别。</w:t>
      </w:r>
    </w:p>
    <w:p w14:paraId="3F165F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b/>
          <w:bCs/>
          <w:lang w:val="en-US" w:eastAsia="zh-CN"/>
        </w:rPr>
        <w:t>3、因子值检测：</w:t>
      </w:r>
      <w:r>
        <w:rPr>
          <w:rFonts w:hint="eastAsia"/>
          <w:lang w:val="en-US" w:eastAsia="zh-CN"/>
        </w:rPr>
        <w:t>因子值之间差异涉及到的浮点位数不能太高，例如大部分因子之间的在0附近，方差为e-15，这就会导致在实盘计算中需要满足很高的精度要求，较小的误差变动会给模型带来比较大影响。因子值最终要求平均值&gt;=0.001或标准差&gt;=0.001，离散度(标准差/平均值)&lt;0.01。</w:t>
      </w:r>
    </w:p>
    <w:p w14:paraId="791779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olor w:val="000000" w:themeColor="text1"/>
          <w:lang w:val="en-US" w:eastAsia="zh-CN"/>
          <w14:textFill>
            <w14:solidFill>
              <w14:schemeClr w14:val="tx1"/>
            </w14:solidFill>
          </w14:textFill>
        </w:rPr>
      </w:pPr>
      <w:r>
        <w:rPr>
          <w:rFonts w:hint="eastAsia"/>
          <w:b/>
          <w:bCs/>
          <w:lang w:val="en-US" w:eastAsia="zh-CN"/>
        </w:rPr>
        <w:t>4、异常检测：</w:t>
      </w:r>
      <w:r>
        <w:rPr>
          <w:rFonts w:hint="eastAsia"/>
          <w:lang w:val="en-US" w:eastAsia="zh-CN"/>
        </w:rPr>
        <w:t>因子需要保</w:t>
      </w:r>
      <w:r>
        <w:rPr>
          <w:rFonts w:hint="eastAsia"/>
          <w:color w:val="000000" w:themeColor="text1"/>
          <w:lang w:val="en-US" w:eastAsia="zh-CN"/>
          <w14:textFill>
            <w14:solidFill>
              <w14:schemeClr w14:val="tx1"/>
            </w14:solidFill>
          </w14:textFill>
        </w:rPr>
        <w:t>证缺失填充的比例低于20%，并且不存在无穷值。若因子分布中存在异常，则需要排查对应的样本，确定是否存在因子错误编写或异常数据等问题。例如开发T-1日因子时，如果需要对横截面全市场股票进行操作（Z-Score标准化，横截面回归等），或者滚动窗口（尤其是自定义函数）时，需要对nan和inf进行处理，否则可能导致大量缺失。</w:t>
      </w:r>
    </w:p>
    <w:p w14:paraId="76CFC6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5、长短周期检测：</w:t>
      </w:r>
      <w:r>
        <w:rPr>
          <w:rFonts w:hint="eastAsia"/>
          <w:color w:val="000000" w:themeColor="text1"/>
          <w:lang w:val="en-US" w:eastAsia="zh-CN"/>
          <w14:textFill>
            <w14:solidFill>
              <w14:schemeClr w14:val="tx1"/>
            </w14:solidFill>
          </w14:textFill>
        </w:rPr>
        <w:t>对于T-1_factor类别的因子，需要保证因子的计算区间较长时计算得到的因子值和计算区间只有一天时计算得到的因子值一致。在取数据时，需要比起始日期至少提前超过使用数据日期长度加一天。</w:t>
      </w:r>
    </w:p>
    <w:p w14:paraId="217F5F1F">
      <w:pPr>
        <w:pStyle w:val="3"/>
        <w:bidi w:val="0"/>
        <w:rPr>
          <w:rFonts w:hint="eastAsia"/>
          <w:lang w:val="en-US" w:eastAsia="zh-CN"/>
        </w:rPr>
      </w:pPr>
      <w:r>
        <w:rPr>
          <w:rFonts w:hint="eastAsia"/>
          <w:lang w:val="en-US" w:eastAsia="zh-CN"/>
        </w:rPr>
        <w:t>三、T日因子迁移要点</w:t>
      </w:r>
    </w:p>
    <w:p w14:paraId="35F933A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b/>
          <w:bCs/>
          <w:lang w:val="en-US" w:eastAsia="zh-CN"/>
        </w:rPr>
        <w:t>1、sort_values相同数值排序问题：</w:t>
      </w:r>
      <w:r>
        <w:rPr>
          <w:rFonts w:hint="eastAsia"/>
          <w:lang w:val="en-US" w:eastAsia="zh-CN"/>
        </w:rPr>
        <w:t>对某个数据使用sort_values进行排序时，可能会出现相同值的情况，</w:t>
      </w:r>
      <w:r>
        <w:rPr>
          <w:rFonts w:hint="eastAsia"/>
          <w:color w:val="000000" w:themeColor="text1"/>
          <w:lang w:val="en-US" w:eastAsia="zh-CN"/>
          <w14:textFill>
            <w14:solidFill>
              <w14:schemeClr w14:val="tx1"/>
            </w14:solidFill>
          </w14:textFill>
        </w:rPr>
        <w:t>实盘端和研究python端</w:t>
      </w:r>
      <w:r>
        <w:rPr>
          <w:rFonts w:hint="eastAsia"/>
          <w:lang w:val="en-US" w:eastAsia="zh-CN"/>
        </w:rPr>
        <w:t>无法在相同值顺序上保持一致，因此如果排序顺序会影响因子值计算结果，则需要使用第二个排序依据（例如TradeIndex），确保最终排序唯一。</w:t>
      </w:r>
    </w:p>
    <w:p w14:paraId="5AE779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b/>
          <w:bCs/>
          <w:lang w:val="en-US" w:eastAsia="zh-CN"/>
        </w:rPr>
        <w:t>2、中间变量浮点数：</w:t>
      </w:r>
      <w:r>
        <w:rPr>
          <w:rFonts w:hint="eastAsia"/>
          <w:lang w:val="en-US" w:eastAsia="zh-CN"/>
        </w:rPr>
        <w:t>对于计算得到的中间变量，如果涉及数值与数</w:t>
      </w:r>
      <w:r>
        <w:rPr>
          <w:rFonts w:hint="eastAsia"/>
          <w:color w:val="000000" w:themeColor="text1"/>
          <w:lang w:val="en-US" w:eastAsia="zh-CN"/>
          <w14:textFill>
            <w14:solidFill>
              <w14:schemeClr w14:val="tx1"/>
            </w14:solidFill>
          </w14:textFill>
        </w:rPr>
        <w:t>值的比较、排序、斯皮尔曼相关系数时，则可能会出现浮点数的影响，导致实盘端和研究python端不</w:t>
      </w:r>
      <w:r>
        <w:rPr>
          <w:rFonts w:hint="eastAsia"/>
          <w:lang w:val="en-US" w:eastAsia="zh-CN"/>
        </w:rPr>
        <w:t>一致。例如一个代表涨跌幅的序列A(各个数值为float类别)，在使用当前价格与上一个价格相除-1后，可能会出现当前价格与上一个价格相同但计算出来的涨跌幅为非0的情况，可能为e-16或-e-16。若想要筛选出全部A&gt;0的数据，需要对其进行四舍五入保留固定的位数后，再进行筛选。建议使用以下函数进行四舍五入，控制精度：</w:t>
      </w:r>
    </w:p>
    <w:p w14:paraId="300C0277">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15"/>
          <w:szCs w:val="18"/>
          <w:lang w:val="en-US" w:eastAsia="zh-CN"/>
        </w:rPr>
      </w:pPr>
      <w:r>
        <w:rPr>
          <w:rFonts w:hint="default"/>
          <w:sz w:val="15"/>
          <w:szCs w:val="18"/>
          <w:lang w:val="en-US" w:eastAsia="zh-CN"/>
        </w:rPr>
        <w:t>import decimal</w:t>
      </w:r>
    </w:p>
    <w:p w14:paraId="45B0B4E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15"/>
          <w:szCs w:val="18"/>
          <w:lang w:val="en-US" w:eastAsia="zh-CN"/>
        </w:rPr>
      </w:pPr>
      <w:r>
        <w:rPr>
          <w:rFonts w:hint="default"/>
          <w:sz w:val="15"/>
          <w:szCs w:val="18"/>
          <w:lang w:val="en-US" w:eastAsia="zh-CN"/>
        </w:rPr>
        <w:t>def round_(x, n=</w:t>
      </w:r>
      <w:r>
        <w:rPr>
          <w:rFonts w:hint="eastAsia"/>
          <w:sz w:val="15"/>
          <w:szCs w:val="18"/>
          <w:lang w:val="en-US" w:eastAsia="zh-CN"/>
        </w:rPr>
        <w:t>5</w:t>
      </w:r>
      <w:r>
        <w:rPr>
          <w:rFonts w:hint="default"/>
          <w:sz w:val="15"/>
          <w:szCs w:val="18"/>
          <w:lang w:val="en-US" w:eastAsia="zh-CN"/>
        </w:rPr>
        <w:t>):</w:t>
      </w:r>
    </w:p>
    <w:p w14:paraId="6D24A9E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15"/>
          <w:szCs w:val="18"/>
          <w:lang w:val="en-US" w:eastAsia="zh-CN"/>
        </w:rPr>
      </w:pPr>
      <w:r>
        <w:rPr>
          <w:rFonts w:hint="eastAsia"/>
          <w:sz w:val="15"/>
          <w:szCs w:val="18"/>
          <w:lang w:val="en-US" w:eastAsia="zh-CN"/>
        </w:rPr>
        <w:t xml:space="preserve">    </w:t>
      </w:r>
      <w:r>
        <w:rPr>
          <w:rFonts w:hint="eastAsia"/>
          <w:color w:val="FF0000"/>
          <w:sz w:val="15"/>
          <w:szCs w:val="18"/>
          <w:lang w:val="en-US" w:eastAsia="zh-CN"/>
        </w:rPr>
        <w:t>x=x+1e-8</w:t>
      </w:r>
    </w:p>
    <w:p w14:paraId="5808F4E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15"/>
          <w:szCs w:val="18"/>
          <w:lang w:val="en-US" w:eastAsia="zh-CN"/>
        </w:rPr>
      </w:pPr>
      <w:r>
        <w:rPr>
          <w:rFonts w:hint="default"/>
          <w:sz w:val="15"/>
          <w:szCs w:val="18"/>
          <w:lang w:val="en-US" w:eastAsia="zh-CN"/>
        </w:rPr>
        <w:t xml:space="preserve">    if n&gt;0:</w:t>
      </w:r>
    </w:p>
    <w:p w14:paraId="6B4BF2D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15"/>
          <w:szCs w:val="18"/>
          <w:lang w:val="en-US" w:eastAsia="zh-CN"/>
        </w:rPr>
      </w:pPr>
      <w:r>
        <w:rPr>
          <w:rFonts w:hint="default"/>
          <w:sz w:val="15"/>
          <w:szCs w:val="18"/>
          <w:lang w:val="en-US" w:eastAsia="zh-CN"/>
        </w:rPr>
        <w:t xml:space="preserve">        res=float(decimal.Decimal(str(x)).quantize(decimal.Decimal('0.%s1'%('0'*(n-1))), rounding=decimal.ROUND_HALF_UP))</w:t>
      </w:r>
    </w:p>
    <w:p w14:paraId="0D57856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15"/>
          <w:szCs w:val="18"/>
          <w:lang w:val="en-US" w:eastAsia="zh-CN"/>
        </w:rPr>
      </w:pPr>
      <w:r>
        <w:rPr>
          <w:rFonts w:hint="default"/>
          <w:sz w:val="15"/>
          <w:szCs w:val="18"/>
          <w:lang w:val="en-US" w:eastAsia="zh-CN"/>
        </w:rPr>
        <w:t xml:space="preserve">    else:</w:t>
      </w:r>
    </w:p>
    <w:p w14:paraId="4658A2F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sz w:val="15"/>
          <w:szCs w:val="18"/>
          <w:lang w:val="en-US" w:eastAsia="zh-CN"/>
        </w:rPr>
      </w:pPr>
      <w:r>
        <w:rPr>
          <w:rFonts w:hint="default"/>
          <w:sz w:val="15"/>
          <w:szCs w:val="18"/>
          <w:lang w:val="en-US" w:eastAsia="zh-CN"/>
        </w:rPr>
        <w:t xml:space="preserve">        res=int(decimal.Decimal(str(x)).quantize(decimal.Decimal('1'), rounding=decimal.ROUND_HALF_UP))</w:t>
      </w:r>
    </w:p>
    <w:p w14:paraId="09C06420">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lang w:val="en-US" w:eastAsia="zh-CN"/>
        </w:rPr>
      </w:pPr>
      <w:r>
        <w:rPr>
          <w:rFonts w:hint="default"/>
          <w:sz w:val="15"/>
          <w:szCs w:val="18"/>
          <w:lang w:val="en-US" w:eastAsia="zh-CN"/>
        </w:rPr>
        <w:t xml:space="preserve">    return res</w:t>
      </w:r>
    </w:p>
    <w:p w14:paraId="0D47AE8F">
      <w:pPr>
        <w:pStyle w:val="3"/>
        <w:bidi w:val="0"/>
        <w:rPr>
          <w:rFonts w:hint="eastAsia"/>
          <w:lang w:val="en-US" w:eastAsia="zh-CN"/>
        </w:rPr>
      </w:pPr>
      <w:r>
        <w:rPr>
          <w:rFonts w:hint="eastAsia"/>
          <w:lang w:val="en-US" w:eastAsia="zh-CN"/>
        </w:rPr>
        <w:t>四、策略迭代：</w:t>
      </w:r>
    </w:p>
    <w:p w14:paraId="6F948F14">
      <w:pPr>
        <w:numPr>
          <w:ilvl w:val="0"/>
          <w:numId w:val="0"/>
        </w:numPr>
        <w:rPr>
          <w:rFonts w:hint="eastAsia"/>
          <w:b/>
          <w:bCs/>
          <w:lang w:val="en-US" w:eastAsia="zh-CN"/>
        </w:rPr>
      </w:pPr>
      <w:r>
        <w:rPr>
          <w:rFonts w:hint="eastAsia"/>
          <w:b/>
          <w:bCs/>
          <w:lang w:val="en-US" w:eastAsia="zh-CN"/>
        </w:rPr>
        <w:t>策略迭代部分为团队统一进行，个人开发因子不需要关注。</w:t>
      </w:r>
    </w:p>
    <w:p w14:paraId="71BB83A0">
      <w:pPr>
        <w:numPr>
          <w:ilvl w:val="0"/>
          <w:numId w:val="0"/>
        </w:numPr>
        <w:rPr>
          <w:rFonts w:hint="default"/>
          <w:lang w:val="en-US" w:eastAsia="zh-CN"/>
        </w:rPr>
      </w:pPr>
    </w:p>
    <w:p w14:paraId="58068F21">
      <w:pPr>
        <w:numPr>
          <w:ilvl w:val="0"/>
          <w:numId w:val="0"/>
        </w:numPr>
        <w:rPr>
          <w:rFonts w:hint="eastAsia"/>
          <w:lang w:val="en-US" w:eastAsia="zh-CN"/>
        </w:rPr>
      </w:pPr>
      <w:r>
        <w:rPr>
          <w:rFonts w:hint="eastAsia"/>
          <w:lang w:val="en-US" w:eastAsia="zh-CN"/>
        </w:rPr>
        <w:t>1、因子每一轮迭代需要将因子列表和因子值提供给模型同事训练，其中因子列表包括</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6616"/>
      </w:tblGrid>
      <w:tr w14:paraId="75BB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tcPr>
          <w:p w14:paraId="47E8EB09">
            <w:pPr>
              <w:numPr>
                <w:ilvl w:val="0"/>
                <w:numId w:val="0"/>
              </w:numPr>
              <w:rPr>
                <w:rFonts w:hint="default"/>
                <w:vertAlign w:val="baseline"/>
                <w:lang w:val="en-US" w:eastAsia="zh-CN"/>
              </w:rPr>
            </w:pPr>
            <w:r>
              <w:rPr>
                <w:rFonts w:hint="eastAsia"/>
                <w:vertAlign w:val="baseline"/>
                <w:lang w:val="en-US" w:eastAsia="zh-CN"/>
              </w:rPr>
              <w:t>列名</w:t>
            </w:r>
          </w:p>
        </w:tc>
        <w:tc>
          <w:tcPr>
            <w:tcW w:w="6616" w:type="dxa"/>
          </w:tcPr>
          <w:p w14:paraId="1CD8F634">
            <w:pPr>
              <w:numPr>
                <w:ilvl w:val="0"/>
                <w:numId w:val="0"/>
              </w:numPr>
              <w:rPr>
                <w:rFonts w:hint="default"/>
                <w:vertAlign w:val="baseline"/>
                <w:lang w:val="en-US" w:eastAsia="zh-CN"/>
              </w:rPr>
            </w:pPr>
            <w:r>
              <w:rPr>
                <w:rFonts w:hint="eastAsia"/>
                <w:vertAlign w:val="baseline"/>
                <w:lang w:val="en-US" w:eastAsia="zh-CN"/>
              </w:rPr>
              <w:t>含义</w:t>
            </w:r>
          </w:p>
        </w:tc>
      </w:tr>
      <w:tr w14:paraId="05BA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tcPr>
          <w:p w14:paraId="42D0453B">
            <w:pPr>
              <w:numPr>
                <w:ilvl w:val="0"/>
                <w:numId w:val="0"/>
              </w:numPr>
              <w:rPr>
                <w:rFonts w:hint="default"/>
                <w:vertAlign w:val="baseline"/>
                <w:lang w:val="en-US" w:eastAsia="zh-CN"/>
              </w:rPr>
            </w:pPr>
            <w:r>
              <w:rPr>
                <w:rFonts w:hint="eastAsia"/>
                <w:vertAlign w:val="baseline"/>
                <w:lang w:val="en-US" w:eastAsia="zh-CN"/>
              </w:rPr>
              <w:t>factor_name</w:t>
            </w:r>
          </w:p>
        </w:tc>
        <w:tc>
          <w:tcPr>
            <w:tcW w:w="6616" w:type="dxa"/>
          </w:tcPr>
          <w:p w14:paraId="36BC8C34">
            <w:pPr>
              <w:numPr>
                <w:ilvl w:val="0"/>
                <w:numId w:val="0"/>
              </w:numPr>
              <w:rPr>
                <w:rFonts w:hint="default"/>
                <w:vertAlign w:val="baseline"/>
                <w:lang w:val="en-US" w:eastAsia="zh-CN"/>
              </w:rPr>
            </w:pPr>
            <w:r>
              <w:rPr>
                <w:rFonts w:hint="eastAsia"/>
                <w:vertAlign w:val="baseline"/>
                <w:lang w:val="en-US" w:eastAsia="zh-CN"/>
              </w:rPr>
              <w:t>因子对应的名称</w:t>
            </w:r>
          </w:p>
        </w:tc>
      </w:tr>
      <w:tr w14:paraId="4DBC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tcPr>
          <w:p w14:paraId="75766359">
            <w:pPr>
              <w:numPr>
                <w:ilvl w:val="0"/>
                <w:numId w:val="0"/>
              </w:numPr>
              <w:rPr>
                <w:rFonts w:hint="default"/>
                <w:vertAlign w:val="baseline"/>
                <w:lang w:val="en-US" w:eastAsia="zh-CN"/>
              </w:rPr>
            </w:pPr>
            <w:r>
              <w:rPr>
                <w:rFonts w:hint="eastAsia"/>
                <w:vertAlign w:val="baseline"/>
                <w:lang w:val="en-US" w:eastAsia="zh-CN"/>
              </w:rPr>
              <w:t>factor_type</w:t>
            </w:r>
          </w:p>
        </w:tc>
        <w:tc>
          <w:tcPr>
            <w:tcW w:w="6616" w:type="dxa"/>
          </w:tcPr>
          <w:p w14:paraId="4DE0F010">
            <w:pPr>
              <w:numPr>
                <w:ilvl w:val="0"/>
                <w:numId w:val="0"/>
              </w:numPr>
              <w:rPr>
                <w:rFonts w:hint="default"/>
                <w:vertAlign w:val="baseline"/>
                <w:lang w:val="en-US" w:eastAsia="zh-CN"/>
              </w:rPr>
            </w:pPr>
            <w:r>
              <w:rPr>
                <w:rFonts w:hint="eastAsia"/>
                <w:vertAlign w:val="baseline"/>
                <w:lang w:val="en-US" w:eastAsia="zh-CN"/>
              </w:rPr>
              <w:t>因子类别(other类和label类不能放入模型中进行训练)</w:t>
            </w:r>
          </w:p>
        </w:tc>
      </w:tr>
      <w:tr w14:paraId="50E0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6" w:type="dxa"/>
          </w:tcPr>
          <w:p w14:paraId="181F49AC">
            <w:pPr>
              <w:numPr>
                <w:ilvl w:val="0"/>
                <w:numId w:val="0"/>
              </w:numPr>
              <w:rPr>
                <w:rFonts w:hint="default"/>
                <w:vertAlign w:val="baseline"/>
                <w:lang w:val="en-US" w:eastAsia="zh-CN"/>
              </w:rPr>
            </w:pPr>
            <w:r>
              <w:rPr>
                <w:rFonts w:hint="eastAsia"/>
                <w:vertAlign w:val="baseline"/>
                <w:lang w:val="en-US" w:eastAsia="zh-CN"/>
              </w:rPr>
              <w:t>factor_owner</w:t>
            </w:r>
          </w:p>
        </w:tc>
        <w:tc>
          <w:tcPr>
            <w:tcW w:w="6616" w:type="dxa"/>
          </w:tcPr>
          <w:p w14:paraId="2708629C">
            <w:pPr>
              <w:numPr>
                <w:ilvl w:val="0"/>
                <w:numId w:val="0"/>
              </w:numPr>
              <w:rPr>
                <w:rFonts w:hint="default"/>
                <w:vertAlign w:val="baseline"/>
                <w:lang w:val="en-US" w:eastAsia="zh-CN"/>
              </w:rPr>
            </w:pPr>
            <w:r>
              <w:rPr>
                <w:rFonts w:hint="eastAsia"/>
                <w:vertAlign w:val="baseline"/>
                <w:lang w:val="en-US" w:eastAsia="zh-CN"/>
              </w:rPr>
              <w:t>因子开发人员</w:t>
            </w:r>
          </w:p>
        </w:tc>
      </w:tr>
    </w:tbl>
    <w:p w14:paraId="328A9089">
      <w:pPr>
        <w:numPr>
          <w:ilvl w:val="0"/>
          <w:numId w:val="0"/>
        </w:numPr>
        <w:ind w:leftChars="0"/>
        <w:rPr>
          <w:rFonts w:hint="eastAsia"/>
          <w:lang w:val="en-US" w:eastAsia="zh-CN"/>
        </w:rPr>
      </w:pPr>
    </w:p>
    <w:p w14:paraId="3F369AD0">
      <w:pPr>
        <w:numPr>
          <w:ilvl w:val="0"/>
          <w:numId w:val="0"/>
        </w:numPr>
        <w:ind w:leftChars="0"/>
        <w:rPr>
          <w:rFonts w:hint="eastAsia"/>
          <w:lang w:val="en-US" w:eastAsia="zh-CN"/>
        </w:rPr>
      </w:pPr>
      <w:r>
        <w:rPr>
          <w:rFonts w:hint="eastAsia"/>
          <w:lang w:val="en-US" w:eastAsia="zh-CN"/>
        </w:rPr>
        <w:t>2、因子日频更新</w:t>
      </w:r>
    </w:p>
    <w:p w14:paraId="6217A24C">
      <w:pPr>
        <w:numPr>
          <w:ilvl w:val="0"/>
          <w:numId w:val="0"/>
        </w:numPr>
        <w:ind w:leftChars="0"/>
        <w:rPr>
          <w:rFonts w:hint="eastAsia"/>
          <w:lang w:val="en-US" w:eastAsia="zh-CN"/>
        </w:rPr>
      </w:pPr>
      <w:r>
        <w:rPr>
          <w:rFonts w:hint="eastAsia"/>
          <w:lang w:val="en-US" w:eastAsia="zh-CN"/>
        </w:rPr>
        <w:t>当老版本模型被新版本替换后，老版本因子数据将继续在原有路径下继续更新一个季度；</w:t>
      </w:r>
    </w:p>
    <w:p w14:paraId="7AAF5C9B">
      <w:pPr>
        <w:numPr>
          <w:ilvl w:val="0"/>
          <w:numId w:val="0"/>
        </w:numPr>
        <w:ind w:leftChars="0"/>
        <w:rPr>
          <w:rFonts w:hint="eastAsia"/>
          <w:lang w:val="en-US" w:eastAsia="zh-CN"/>
        </w:rPr>
      </w:pPr>
      <w:r>
        <w:rPr>
          <w:rFonts w:hint="eastAsia"/>
          <w:lang w:val="en-US" w:eastAsia="zh-CN"/>
        </w:rPr>
        <w:t>当新版本模型即将上线时，新版本的因子应于新版本模型所使用因子确定时开始日频更新；</w:t>
      </w:r>
    </w:p>
    <w:p w14:paraId="6D5B4FD5">
      <w:pPr>
        <w:numPr>
          <w:ilvl w:val="0"/>
          <w:numId w:val="0"/>
        </w:numPr>
        <w:ind w:leftChars="0"/>
        <w:rPr>
          <w:rFonts w:hint="eastAsia"/>
          <w:lang w:val="en-US" w:eastAsia="zh-CN"/>
        </w:rPr>
      </w:pPr>
    </w:p>
    <w:p w14:paraId="17114A0A">
      <w:pPr>
        <w:numPr>
          <w:ilvl w:val="0"/>
          <w:numId w:val="0"/>
        </w:numPr>
        <w:ind w:leftChars="0"/>
        <w:rPr>
          <w:rFonts w:hint="default"/>
          <w:lang w:val="en-US" w:eastAsia="zh-CN"/>
        </w:rPr>
      </w:pPr>
      <w:r>
        <w:rPr>
          <w:rFonts w:hint="eastAsia"/>
          <w:lang w:val="en-US" w:eastAsia="zh-CN"/>
        </w:rPr>
        <w:t>3、因子切换版本时，需要列出本轮新版本新增因子列表与移除因子列表，移除因子列表需要列名移除原因。</w:t>
      </w:r>
    </w:p>
    <w:p w14:paraId="1646725B">
      <w:pPr>
        <w:numPr>
          <w:ilvl w:val="0"/>
          <w:numId w:val="0"/>
        </w:numPr>
        <w:ind w:leftChars="0"/>
        <w:rPr>
          <w:rFonts w:hint="default"/>
          <w:lang w:val="en-US" w:eastAsia="zh-CN"/>
        </w:rPr>
      </w:pPr>
    </w:p>
    <w:p w14:paraId="3728C8AB">
      <w:pPr>
        <w:numPr>
          <w:ilvl w:val="0"/>
          <w:numId w:val="0"/>
        </w:numPr>
        <w:ind w:leftChars="0"/>
        <w:rPr>
          <w:rFonts w:hint="default"/>
          <w:lang w:val="en-US" w:eastAsia="zh-CN"/>
        </w:rPr>
      </w:pPr>
      <w:r>
        <w:rPr>
          <w:rFonts w:hint="eastAsia"/>
          <w:lang w:val="en-US" w:eastAsia="zh-CN"/>
        </w:rPr>
        <w:t>4、各个因子库的名称：</w:t>
      </w:r>
    </w:p>
    <w:p w14:paraId="603B0D54">
      <w:pPr>
        <w:numPr>
          <w:ilvl w:val="0"/>
          <w:numId w:val="0"/>
        </w:numPr>
        <w:ind w:leftChars="0"/>
        <w:rPr>
          <w:rFonts w:hint="default"/>
          <w:lang w:val="en-US" w:eastAsia="zh-CN"/>
        </w:rPr>
      </w:pPr>
      <w:r>
        <w:rPr>
          <w:rFonts w:hint="eastAsia"/>
          <w:lang w:val="en-US" w:eastAsia="zh-CN"/>
        </w:rPr>
        <w:t>因子库按筛选的顺序分为“原始因子库”（可以运行计算出值的因子集合）、“备选因子库”（经过入库筛选条件的因子集合）、“终版因子库”（通过进一步筛选，提供给模型进行训练的因子集合）。命名规则为“策略”+“版本”+“分场景”+“xx因子</w:t>
      </w:r>
      <w:bookmarkStart w:id="0" w:name="_GoBack"/>
      <w:bookmarkEnd w:id="0"/>
      <w:r>
        <w:rPr>
          <w:rFonts w:hint="eastAsia"/>
          <w:lang w:val="en-US" w:eastAsia="zh-CN"/>
        </w:rPr>
        <w:t>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6282BE"/>
    <w:multiLevelType w:val="singleLevel"/>
    <w:tmpl w:val="D56282BE"/>
    <w:lvl w:ilvl="0" w:tentative="0">
      <w:start w:val="9"/>
      <w:numFmt w:val="decimal"/>
      <w:suff w:val="nothing"/>
      <w:lvlText w:val="%1、"/>
      <w:lvlJc w:val="left"/>
    </w:lvl>
  </w:abstractNum>
  <w:abstractNum w:abstractNumId="1">
    <w:nsid w:val="F8E35824"/>
    <w:multiLevelType w:val="singleLevel"/>
    <w:tmpl w:val="F8E35824"/>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374B"/>
    <w:rsid w:val="06212B1B"/>
    <w:rsid w:val="09384D07"/>
    <w:rsid w:val="0A6C0264"/>
    <w:rsid w:val="0A8E12BD"/>
    <w:rsid w:val="0B8A2CCD"/>
    <w:rsid w:val="0E2D3866"/>
    <w:rsid w:val="0E7819CB"/>
    <w:rsid w:val="0FE65D0B"/>
    <w:rsid w:val="115320F9"/>
    <w:rsid w:val="14A23686"/>
    <w:rsid w:val="15E13171"/>
    <w:rsid w:val="16AE3E97"/>
    <w:rsid w:val="16B02545"/>
    <w:rsid w:val="185C2840"/>
    <w:rsid w:val="1B9C71DA"/>
    <w:rsid w:val="1BB472B8"/>
    <w:rsid w:val="1BE93D9E"/>
    <w:rsid w:val="1BF941A2"/>
    <w:rsid w:val="1C08210D"/>
    <w:rsid w:val="1C0D49BD"/>
    <w:rsid w:val="1C2E3687"/>
    <w:rsid w:val="1C79058E"/>
    <w:rsid w:val="1F5659DA"/>
    <w:rsid w:val="1FB26A11"/>
    <w:rsid w:val="26C64320"/>
    <w:rsid w:val="278065DC"/>
    <w:rsid w:val="2AED757D"/>
    <w:rsid w:val="2B7F2B4B"/>
    <w:rsid w:val="2D5269EE"/>
    <w:rsid w:val="2DE47F8D"/>
    <w:rsid w:val="2FC40291"/>
    <w:rsid w:val="325A6665"/>
    <w:rsid w:val="3339061E"/>
    <w:rsid w:val="33B7776A"/>
    <w:rsid w:val="345D1478"/>
    <w:rsid w:val="353A0143"/>
    <w:rsid w:val="3C2F484C"/>
    <w:rsid w:val="3F750ED6"/>
    <w:rsid w:val="422405D7"/>
    <w:rsid w:val="443A245C"/>
    <w:rsid w:val="44D87F4E"/>
    <w:rsid w:val="457E0411"/>
    <w:rsid w:val="47A21F10"/>
    <w:rsid w:val="48B97E00"/>
    <w:rsid w:val="49B31730"/>
    <w:rsid w:val="4AF5279A"/>
    <w:rsid w:val="4BE065DF"/>
    <w:rsid w:val="4FC03583"/>
    <w:rsid w:val="4FFA50DF"/>
    <w:rsid w:val="508A631B"/>
    <w:rsid w:val="50BA02FE"/>
    <w:rsid w:val="511C7441"/>
    <w:rsid w:val="51B65454"/>
    <w:rsid w:val="527E6CE5"/>
    <w:rsid w:val="52DF4747"/>
    <w:rsid w:val="55AA0D7E"/>
    <w:rsid w:val="58AC780A"/>
    <w:rsid w:val="59754CD5"/>
    <w:rsid w:val="59974E89"/>
    <w:rsid w:val="60A00B94"/>
    <w:rsid w:val="61751E71"/>
    <w:rsid w:val="64A245A7"/>
    <w:rsid w:val="66A72B74"/>
    <w:rsid w:val="66CC1ACE"/>
    <w:rsid w:val="6809591F"/>
    <w:rsid w:val="6AA319C2"/>
    <w:rsid w:val="6F16070F"/>
    <w:rsid w:val="71255AB0"/>
    <w:rsid w:val="73FB3F54"/>
    <w:rsid w:val="74E32708"/>
    <w:rsid w:val="776D38FC"/>
    <w:rsid w:val="79BC1EC7"/>
    <w:rsid w:val="7AC04563"/>
    <w:rsid w:val="7D734561"/>
    <w:rsid w:val="7F2C349A"/>
    <w:rsid w:val="7F353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4</Pages>
  <Words>2884</Words>
  <Characters>4018</Characters>
  <DocSecurity>0</DocSecurity>
  <Lines>0</Lines>
  <Paragraphs>0</Paragraphs>
  <ScaleCrop>false</ScaleCrop>
  <LinksUpToDate>false</LinksUpToDate>
  <CharactersWithSpaces>4107</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2022-06-20T05:53:00Z</dcterms:created>
  <dcterms:modified xsi:type="dcterms:W3CDTF">2026-05-05T15:16:42Z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EDC83098A2CE44328714D4FBB4EBE653</vt:lpwstr>
  </property>
  <property fmtid="{D5CDD505-2E9C-101B-9397-08002B2CF9AE}" pid="4" name="KSOTemplateDocerSaveRecord">
    <vt:lpwstr>eyJoZGlkIjoiZjhjMTc5ZmU3OWNjY2EzZWNhMDIxYjdiZGNkOGJiMmQiLCJ1c2VySWQiOiI0ODk4NjY3OTcifQ==</vt:lpwstr>
  </property>
</Properties>
</file>