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sz w:val="44"/>
        </w:rPr>
        <w:t>企业级应用软件设计与开发</w:t>
      </w:r>
    </w:p>
    <w:p>
      <w:pPr>
        <w:jc w:val="center"/>
      </w:pPr>
      <w:r>
        <w:rPr>
          <w:rFonts w:ascii="Calibri" w:hAnsi="Calibri" w:eastAsia="黑体"/>
          <w:b/>
          <w:sz w:val="34"/>
        </w:rPr>
        <w:t>Aliyun OSS Support RAG：阿里云对象存储技术支持问答智能体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6FB"/>
          </w:tcPr>
          <w:p>
            <w:r>
              <w:t>字段</w:t>
            </w:r>
          </w:p>
        </w:tc>
        <w:tc>
          <w:tcPr>
            <w:tcW w:type="dxa" w:w="4680"/>
            <w:vAlign w:val="center"/>
            <w:shd w:fill="F2F6FB"/>
          </w:tcPr>
          <w:p>
            <w:r>
              <w:t>内容</w:t>
            </w:r>
          </w:p>
        </w:tc>
      </w:tr>
      <w:tr>
        <w:tc>
          <w:tcPr>
            <w:tcW w:type="dxa" w:w="4680"/>
            <w:vAlign w:val="center"/>
          </w:tcPr>
          <w:p>
            <w:r>
              <w:t>课程名称</w:t>
            </w:r>
          </w:p>
        </w:tc>
        <w:tc>
          <w:tcPr>
            <w:tcW w:type="dxa" w:w="4680"/>
            <w:vAlign w:val="center"/>
          </w:tcPr>
          <w:p>
            <w:r>
              <w:t>企业级应用软件设计与开发</w:t>
            </w:r>
          </w:p>
        </w:tc>
      </w:tr>
      <w:tr>
        <w:tc>
          <w:tcPr>
            <w:tcW w:type="dxa" w:w="4680"/>
            <w:vAlign w:val="center"/>
          </w:tcPr>
          <w:p>
            <w:r>
              <w:t>项目名称</w:t>
            </w:r>
          </w:p>
        </w:tc>
        <w:tc>
          <w:tcPr>
            <w:tcW w:type="dxa" w:w="4680"/>
            <w:vAlign w:val="center"/>
          </w:tcPr>
          <w:p>
            <w:r>
              <w:t>Aliyun OSS Support RAG</w:t>
            </w:r>
          </w:p>
        </w:tc>
      </w:tr>
      <w:tr>
        <w:tc>
          <w:tcPr>
            <w:tcW w:type="dxa" w:w="4680"/>
            <w:vAlign w:val="center"/>
          </w:tcPr>
          <w:p>
            <w:r>
              <w:t>方向</w:t>
            </w:r>
          </w:p>
        </w:tc>
        <w:tc>
          <w:tcPr>
            <w:tcW w:type="dxa" w:w="4680"/>
            <w:vAlign w:val="center"/>
          </w:tcPr>
          <w:p>
            <w:r>
              <w:t>方向一：Agentic AI 原生开发</w:t>
            </w:r>
          </w:p>
        </w:tc>
      </w:tr>
      <w:tr>
        <w:tc>
          <w:tcPr>
            <w:tcW w:type="dxa" w:w="4680"/>
            <w:vAlign w:val="center"/>
          </w:tcPr>
          <w:p>
            <w:r>
              <w:t>学号</w:t>
            </w:r>
          </w:p>
        </w:tc>
        <w:tc>
          <w:tcPr>
            <w:tcW w:type="dxa" w:w="4680"/>
            <w:vAlign w:val="center"/>
          </w:tcPr>
          <w:p>
            <w:r>
              <w:t>待填写</w:t>
            </w:r>
          </w:p>
        </w:tc>
      </w:tr>
      <w:tr>
        <w:tc>
          <w:tcPr>
            <w:tcW w:type="dxa" w:w="4680"/>
            <w:vAlign w:val="center"/>
          </w:tcPr>
          <w:p>
            <w:r>
              <w:t>姓名</w:t>
            </w:r>
          </w:p>
        </w:tc>
        <w:tc>
          <w:tcPr>
            <w:tcW w:type="dxa" w:w="4680"/>
            <w:vAlign w:val="center"/>
          </w:tcPr>
          <w:p>
            <w:r>
              <w:t>待填写</w:t>
            </w:r>
          </w:p>
        </w:tc>
      </w:tr>
      <w:tr>
        <w:tc>
          <w:tcPr>
            <w:tcW w:type="dxa" w:w="4680"/>
            <w:vAlign w:val="center"/>
          </w:tcPr>
          <w:p>
            <w:r>
              <w:t>专业</w:t>
            </w:r>
          </w:p>
        </w:tc>
        <w:tc>
          <w:tcPr>
            <w:tcW w:type="dxa" w:w="4680"/>
            <w:vAlign w:val="center"/>
          </w:tcPr>
          <w:p>
            <w:r>
              <w:t>计算机技术 / 软件工程（待替换）</w:t>
            </w:r>
          </w:p>
        </w:tc>
      </w:tr>
      <w:tr>
        <w:tc>
          <w:tcPr>
            <w:tcW w:type="dxa" w:w="4680"/>
            <w:vAlign w:val="center"/>
          </w:tcPr>
          <w:p>
            <w:r>
              <w:t>指导教师</w:t>
            </w:r>
          </w:p>
        </w:tc>
        <w:tc>
          <w:tcPr>
            <w:tcW w:type="dxa" w:w="4680"/>
            <w:vAlign w:val="center"/>
          </w:tcPr>
          <w:p>
            <w:r>
              <w:t>戚欣</w:t>
            </w:r>
          </w:p>
        </w:tc>
      </w:tr>
      <w:tr>
        <w:tc>
          <w:tcPr>
            <w:tcW w:type="dxa" w:w="4680"/>
            <w:vAlign w:val="center"/>
          </w:tcPr>
          <w:p>
            <w:r>
              <w:t>提交日期</w:t>
            </w:r>
          </w:p>
        </w:tc>
        <w:tc>
          <w:tcPr>
            <w:tcW w:type="dxa" w:w="4680"/>
            <w:vAlign w:val="center"/>
          </w:tcPr>
          <w:p>
            <w:r>
              <w:t>2026 年 6 月 22 日</w:t>
            </w:r>
          </w:p>
        </w:tc>
      </w:tr>
    </w:tbl>
    <w:p>
      <w:r>
        <w:rPr>
          <w:rFonts w:ascii="Calibri" w:hAnsi="Calibri" w:eastAsia="宋体"/>
          <w:b w:val="0"/>
        </w:rPr>
        <w:t>说明：封面中的姓名、学号、专业为占位信息，正式提交前必须替换为真实信息。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 w:val="0"/>
        </w:rPr>
        <w:t>一、选题背景与设计思想</w:t>
      </w:r>
    </w:p>
    <w:p>
      <w:r>
        <w:rPr>
          <w:rFonts w:ascii="Calibri" w:hAnsi="Calibri" w:eastAsia="宋体"/>
          <w:b w:val="0"/>
        </w:rPr>
        <w:t>企业应用接入阿里云 OSS 时常遇到权限策略、临时凭证、API 参数、签名错误、跨域和生命周期成本等问题。通用大模型可能给出宽泛答案，但技术支持场景需要基于具体官方文档、错误码和操作边界回答。</w:t>
      </w:r>
    </w:p>
    <w:p>
      <w:r>
        <w:rPr>
          <w:rFonts w:ascii="Calibri" w:hAnsi="Calibri" w:eastAsia="宋体"/>
          <w:b w:val="0"/>
        </w:rPr>
        <w:t>本项目从零构建阿里云 OSS 技术支持 RAG Agent，通过本地知识库检索、工具调用、状态编排和流式 Web 工作台，提高回答的可追溯性和工程可用性。</w:t>
      </w:r>
    </w:p>
    <w:p>
      <w:pPr>
        <w:pStyle w:val="Heading1"/>
      </w:pPr>
      <w:r>
        <w:rPr>
          <w:rFonts w:ascii="Calibri" w:hAnsi="Calibri" w:eastAsia="宋体"/>
          <w:b w:val="0"/>
        </w:rPr>
        <w:t>二、系统架构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6FB"/>
          </w:tcPr>
          <w:p>
            <w:r>
              <w:t>层级</w:t>
            </w:r>
          </w:p>
        </w:tc>
        <w:tc>
          <w:tcPr>
            <w:tcW w:type="dxa" w:w="4680"/>
            <w:vAlign w:val="center"/>
            <w:shd w:fill="F2F6FB"/>
          </w:tcPr>
          <w:p>
            <w:r>
              <w:t>职责</w:t>
            </w:r>
          </w:p>
        </w:tc>
      </w:tr>
      <w:tr>
        <w:tc>
          <w:tcPr>
            <w:tcW w:type="dxa" w:w="4680"/>
            <w:vAlign w:val="center"/>
          </w:tcPr>
          <w:p>
            <w:r>
              <w:t>入口层</w:t>
            </w:r>
          </w:p>
        </w:tc>
        <w:tc>
          <w:tcPr>
            <w:tcW w:type="dxa" w:w="4680"/>
            <w:vAlign w:val="center"/>
          </w:tcPr>
          <w:p>
            <w:r>
              <w:t>React OSS 支持工作台 / FastAPI</w:t>
            </w:r>
          </w:p>
        </w:tc>
      </w:tr>
      <w:tr>
        <w:tc>
          <w:tcPr>
            <w:tcW w:type="dxa" w:w="4680"/>
            <w:vAlign w:val="center"/>
          </w:tcPr>
          <w:p>
            <w:r>
              <w:t>Agent 层</w:t>
            </w:r>
          </w:p>
        </w:tc>
        <w:tc>
          <w:tcPr>
            <w:tcW w:type="dxa" w:w="4680"/>
            <w:vAlign w:val="center"/>
          </w:tcPr>
          <w:p>
            <w:r>
              <w:t>classify -&gt; retrieve -&gt; tools -&gt; synthesize</w:t>
            </w:r>
          </w:p>
        </w:tc>
      </w:tr>
      <w:tr>
        <w:tc>
          <w:tcPr>
            <w:tcW w:type="dxa" w:w="4680"/>
            <w:vAlign w:val="center"/>
          </w:tcPr>
          <w:p>
            <w:r>
              <w:t>工具层</w:t>
            </w:r>
          </w:p>
        </w:tc>
        <w:tc>
          <w:tcPr>
            <w:tcW w:type="dxa" w:w="4680"/>
            <w:vAlign w:val="center"/>
          </w:tcPr>
          <w:p>
            <w:r>
              <w:t>doc_lookup、api_lookup、permission_lookup、troubleshoot_lookup、cost_lookup</w:t>
            </w:r>
          </w:p>
        </w:tc>
      </w:tr>
      <w:tr>
        <w:tc>
          <w:tcPr>
            <w:tcW w:type="dxa" w:w="4680"/>
            <w:vAlign w:val="center"/>
          </w:tcPr>
          <w:p>
            <w:r>
              <w:t>数据层</w:t>
            </w:r>
          </w:p>
        </w:tc>
        <w:tc>
          <w:tcPr>
            <w:tcW w:type="dxa" w:w="4680"/>
            <w:vAlign w:val="center"/>
          </w:tcPr>
          <w:p>
            <w:r>
              <w:t>OSS 文档摘要、60 个 chunks、文档索引、向量索引、benchmark</w:t>
            </w:r>
          </w:p>
        </w:tc>
      </w:tr>
    </w:tbl>
    <w:p>
      <w:r>
        <w:rPr>
          <w:rFonts w:ascii="Calibri" w:hAnsi="Calibri" w:eastAsia="宋体"/>
          <w:b w:val="0"/>
        </w:rPr>
        <w:t>FastAPI 同时托管前端构建产物和后端接口。LLM 层通过 .env 中的 BASE_URL、API_KEY、MODEL 三项连接 OpenAI 兼容 Chat Completions API；Embedding 层通过 EMBEDDING_BASE_URL、EMBEDDING_API_KEY、EMBEDDING_MODEL 连接 OpenAI 兼容 Embeddings API，未配置时回退到 BM25。</w:t>
      </w:r>
    </w:p>
    <w:p>
      <w:pPr>
        <w:pStyle w:val="Heading1"/>
      </w:pPr>
      <w:r>
        <w:rPr>
          <w:rFonts w:ascii="Calibri" w:hAnsi="Calibri" w:eastAsia="宋体"/>
          <w:b w:val="0"/>
        </w:rPr>
        <w:t>三、知识库构建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6FB"/>
          </w:tcPr>
          <w:p>
            <w:r>
              <w:t>指标</w:t>
            </w:r>
          </w:p>
        </w:tc>
        <w:tc>
          <w:tcPr>
            <w:tcW w:type="dxa" w:w="4680"/>
            <w:vAlign w:val="center"/>
            <w:shd w:fill="F2F6FB"/>
          </w:tcPr>
          <w:p>
            <w:r>
              <w:t>结果</w:t>
            </w:r>
          </w:p>
        </w:tc>
      </w:tr>
      <w:tr>
        <w:tc>
          <w:tcPr>
            <w:tcW w:type="dxa" w:w="4680"/>
            <w:vAlign w:val="center"/>
          </w:tcPr>
          <w:p>
            <w:r>
              <w:t>产品</w:t>
            </w:r>
          </w:p>
        </w:tc>
        <w:tc>
          <w:tcPr>
            <w:tcW w:type="dxa" w:w="4680"/>
            <w:vAlign w:val="center"/>
          </w:tcPr>
          <w:p>
            <w:r>
              <w:t>Alibaba Cloud OSS</w:t>
            </w:r>
          </w:p>
        </w:tc>
      </w:tr>
      <w:tr>
        <w:tc>
          <w:tcPr>
            <w:tcW w:type="dxa" w:w="4680"/>
            <w:vAlign w:val="center"/>
          </w:tcPr>
          <w:p>
            <w:r>
              <w:t>文档数</w:t>
            </w:r>
          </w:p>
        </w:tc>
        <w:tc>
          <w:tcPr>
            <w:tcW w:type="dxa" w:w="4680"/>
            <w:vAlign w:val="center"/>
          </w:tcPr>
          <w:p>
            <w:r>
              <w:t>15</w:t>
            </w:r>
          </w:p>
        </w:tc>
      </w:tr>
      <w:tr>
        <w:tc>
          <w:tcPr>
            <w:tcW w:type="dxa" w:w="4680"/>
            <w:vAlign w:val="center"/>
          </w:tcPr>
          <w:p>
            <w:r>
              <w:t>chunk 数</w:t>
            </w:r>
          </w:p>
        </w:tc>
        <w:tc>
          <w:tcPr>
            <w:tcW w:type="dxa" w:w="4680"/>
            <w:vAlign w:val="center"/>
          </w:tcPr>
          <w:p>
            <w:r>
              <w:t>60</w:t>
            </w:r>
          </w:p>
        </w:tc>
      </w:tr>
      <w:tr>
        <w:tc>
          <w:tcPr>
            <w:tcW w:type="dxa" w:w="4680"/>
            <w:vAlign w:val="center"/>
          </w:tcPr>
          <w:p>
            <w:r>
              <w:t>主题数</w:t>
            </w:r>
          </w:p>
        </w:tc>
        <w:tc>
          <w:tcPr>
            <w:tcW w:type="dxa" w:w="4680"/>
            <w:vAlign w:val="center"/>
          </w:tcPr>
          <w:p>
            <w:r>
              <w:t>12</w:t>
            </w:r>
          </w:p>
        </w:tc>
      </w:tr>
      <w:tr>
        <w:tc>
          <w:tcPr>
            <w:tcW w:type="dxa" w:w="4680"/>
            <w:vAlign w:val="center"/>
          </w:tcPr>
          <w:p>
            <w:r>
              <w:t>来源</w:t>
            </w:r>
          </w:p>
        </w:tc>
        <w:tc>
          <w:tcPr>
            <w:tcW w:type="dxa" w:w="4680"/>
            <w:vAlign w:val="center"/>
          </w:tcPr>
          <w:p>
            <w:r>
              <w:t>阿里云 OSS 官方文档、阿里云 OpenAPI 文档</w:t>
            </w:r>
          </w:p>
        </w:tc>
      </w:tr>
    </w:tbl>
    <w:p>
      <w:r>
        <w:rPr>
          <w:rFonts w:ascii="Calibri" w:hAnsi="Calibri" w:eastAsia="宋体"/>
          <w:b w:val="0"/>
        </w:rPr>
        <w:t>知识库只包含阿里云 OSS 技术支持知识和官方来源 URL，不包含课程要求、项目说明或报告文本。</w:t>
      </w:r>
    </w:p>
    <w:p>
      <w:pPr>
        <w:pStyle w:val="Heading1"/>
      </w:pPr>
      <w:r>
        <w:rPr>
          <w:rFonts w:ascii="Calibri" w:hAnsi="Calibri" w:eastAsia="宋体"/>
          <w:b w:val="0"/>
        </w:rPr>
        <w:t>四、关键实现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6FB"/>
          </w:tcPr>
          <w:p>
            <w:r>
              <w:t>模块</w:t>
            </w:r>
          </w:p>
        </w:tc>
        <w:tc>
          <w:tcPr>
            <w:tcW w:type="dxa" w:w="4680"/>
            <w:vAlign w:val="center"/>
            <w:shd w:fill="F2F6FB"/>
          </w:tcPr>
          <w:p>
            <w:r>
              <w:t>关键职责</w:t>
            </w:r>
          </w:p>
        </w:tc>
      </w:tr>
      <w:tr>
        <w:tc>
          <w:tcPr>
            <w:tcW w:type="dxa" w:w="4680"/>
            <w:vAlign w:val="center"/>
          </w:tcPr>
          <w:p>
            <w:r>
              <w:t>build_kb.py</w:t>
            </w:r>
          </w:p>
        </w:tc>
        <w:tc>
          <w:tcPr>
            <w:tcW w:type="dxa" w:w="4680"/>
            <w:vAlign w:val="center"/>
          </w:tcPr>
          <w:p>
            <w:r>
              <w:t>读取 aliyun_oss_docs.json，按概览、操作、权限、API、故障和成本章节生成 chunks，并在 Embedding 配置存在时生成 vector_index.json</w:t>
            </w:r>
          </w:p>
        </w:tc>
      </w:tr>
      <w:tr>
        <w:tc>
          <w:tcPr>
            <w:tcW w:type="dxa" w:w="4680"/>
            <w:vAlign w:val="center"/>
          </w:tcPr>
          <w:p>
            <w:r>
              <w:t>retrieval.py</w:t>
            </w:r>
          </w:p>
        </w:tc>
        <w:tc>
          <w:tcPr>
            <w:tcW w:type="dxa" w:w="4680"/>
            <w:vAlign w:val="center"/>
          </w:tcPr>
          <w:p>
            <w:r>
              <w:t>执行向量相似度 + BM25 混合检索，未配置 Embedding 时自动回退 BM25</w:t>
            </w:r>
          </w:p>
        </w:tc>
      </w:tr>
      <w:tr>
        <w:tc>
          <w:tcPr>
            <w:tcW w:type="dxa" w:w="4680"/>
            <w:vAlign w:val="center"/>
          </w:tcPr>
          <w:p>
            <w:r>
              <w:t>agent.py</w:t>
            </w:r>
          </w:p>
        </w:tc>
        <w:tc>
          <w:tcPr>
            <w:tcW w:type="dxa" w:w="4680"/>
            <w:vAlign w:val="center"/>
          </w:tcPr>
          <w:p>
            <w:r>
              <w:t>LangGraph 编排、意图识别、工具调用、引用片段和回答合成</w:t>
            </w:r>
          </w:p>
        </w:tc>
      </w:tr>
      <w:tr>
        <w:tc>
          <w:tcPr>
            <w:tcW w:type="dxa" w:w="4680"/>
            <w:vAlign w:val="center"/>
          </w:tcPr>
          <w:p>
            <w:r>
              <w:t>tools.py</w:t>
            </w:r>
          </w:p>
        </w:tc>
        <w:tc>
          <w:tcPr>
            <w:tcW w:type="dxa" w:w="4680"/>
            <w:vAlign w:val="center"/>
          </w:tcPr>
          <w:p>
            <w:r>
              <w:t>文档查询、API 查询、权限指南、故障排查和主题筛选</w:t>
            </w:r>
          </w:p>
        </w:tc>
      </w:tr>
      <w:tr>
        <w:tc>
          <w:tcPr>
            <w:tcW w:type="dxa" w:w="4680"/>
            <w:vAlign w:val="center"/>
          </w:tcPr>
          <w:p>
            <w:r>
              <w:t>frontend/src/main.tsx</w:t>
            </w:r>
          </w:p>
        </w:tc>
        <w:tc>
          <w:tcPr>
            <w:tcW w:type="dxa" w:w="4680"/>
            <w:vAlign w:val="center"/>
          </w:tcPr>
          <w:p>
            <w:r>
              <w:t>React 技术支持工作台、流式展示、历史列表、知识库依据和引用跳转</w:t>
            </w:r>
          </w:p>
        </w:tc>
      </w:tr>
      <w:tr>
        <w:tc>
          <w:tcPr>
            <w:tcW w:type="dxa" w:w="4680"/>
            <w:vAlign w:val="center"/>
          </w:tcPr>
          <w:p>
            <w:r>
              <w:t>evaluate.py</w:t>
            </w:r>
          </w:p>
        </w:tc>
        <w:tc>
          <w:tcPr>
            <w:tcW w:type="dxa" w:w="4680"/>
            <w:vAlign w:val="center"/>
          </w:tcPr>
          <w:p>
            <w:r>
              <w:t>OSS benchmark 与指标输出</w:t>
            </w:r>
          </w:p>
        </w:tc>
      </w:tr>
    </w:tbl>
    <w:p>
      <w:pPr>
        <w:pStyle w:val="Heading1"/>
      </w:pPr>
      <w:r>
        <w:rPr>
          <w:rFonts w:ascii="Calibri" w:hAnsi="Calibri" w:eastAsia="宋体"/>
          <w:b w:val="0"/>
        </w:rPr>
        <w:t>五、测试与评估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6FB"/>
          </w:tcPr>
          <w:p>
            <w:r>
              <w:t>指标</w:t>
            </w:r>
          </w:p>
        </w:tc>
        <w:tc>
          <w:tcPr>
            <w:tcW w:type="dxa" w:w="4680"/>
            <w:vAlign w:val="center"/>
            <w:shd w:fill="F2F6FB"/>
          </w:tcPr>
          <w:p>
            <w:r>
              <w:t>结果</w:t>
            </w:r>
          </w:p>
        </w:tc>
      </w:tr>
      <w:tr>
        <w:tc>
          <w:tcPr>
            <w:tcW w:type="dxa" w:w="4680"/>
            <w:vAlign w:val="center"/>
          </w:tcPr>
          <w:p>
            <w:r>
              <w:t>样例数</w:t>
            </w:r>
          </w:p>
        </w:tc>
        <w:tc>
          <w:tcPr>
            <w:tcW w:type="dxa" w:w="4680"/>
            <w:vAlign w:val="center"/>
          </w:tcPr>
          <w:p>
            <w:r>
              <w:t>10</w:t>
            </w:r>
          </w:p>
        </w:tc>
      </w:tr>
      <w:tr>
        <w:tc>
          <w:tcPr>
            <w:tcW w:type="dxa" w:w="4680"/>
            <w:vAlign w:val="center"/>
          </w:tcPr>
          <w:p>
            <w:r>
              <w:t>意图识别准确率</w:t>
            </w:r>
          </w:p>
        </w:tc>
        <w:tc>
          <w:tcPr>
            <w:tcW w:type="dxa" w:w="4680"/>
            <w:vAlign w:val="center"/>
          </w:tcPr>
          <w:p>
            <w:r>
              <w:t>1.0</w:t>
            </w:r>
          </w:p>
        </w:tc>
      </w:tr>
      <w:tr>
        <w:tc>
          <w:tcPr>
            <w:tcW w:type="dxa" w:w="4680"/>
            <w:vAlign w:val="center"/>
          </w:tcPr>
          <w:p>
            <w:r>
              <w:t>关键字段覆盖率</w:t>
            </w:r>
          </w:p>
        </w:tc>
        <w:tc>
          <w:tcPr>
            <w:tcW w:type="dxa" w:w="4680"/>
            <w:vAlign w:val="center"/>
          </w:tcPr>
          <w:p>
            <w:r>
              <w:t>1.0</w:t>
            </w:r>
          </w:p>
        </w:tc>
      </w:tr>
      <w:tr>
        <w:tc>
          <w:tcPr>
            <w:tcW w:type="dxa" w:w="4680"/>
            <w:vAlign w:val="center"/>
          </w:tcPr>
          <w:p>
            <w:r>
              <w:t>引用覆盖率</w:t>
            </w:r>
          </w:p>
        </w:tc>
        <w:tc>
          <w:tcPr>
            <w:tcW w:type="dxa" w:w="4680"/>
            <w:vAlign w:val="center"/>
          </w:tcPr>
          <w:p>
            <w:r>
              <w:t>1.0</w:t>
            </w:r>
          </w:p>
        </w:tc>
      </w:tr>
    </w:tbl>
    <w:p>
      <w:r>
        <w:rPr>
          <w:rFonts w:ascii="Calibri" w:hAnsi="Calibri" w:eastAsia="宋体"/>
          <w:b w:val="0"/>
        </w:rPr>
        <w:t>测试覆盖 AccessDenied、STS、Bucket Policy、API、签名错误、CORS、生命周期、加密和版本控制等 OSS 技术支持场景。</w:t>
      </w:r>
    </w:p>
    <w:p>
      <w:pPr>
        <w:pStyle w:val="Heading1"/>
      </w:pPr>
      <w:r>
        <w:rPr>
          <w:rFonts w:ascii="Calibri" w:hAnsi="Calibri" w:eastAsia="宋体"/>
          <w:b w:val="0"/>
        </w:rPr>
        <w:t>六、扩展方向</w:t>
      </w:r>
    </w:p>
    <w:p>
      <w:pPr>
        <w:pStyle w:val="ListBullet"/>
      </w:pPr>
      <w:r>
        <w:t>接入阿里云 ECS、RAM、CDN、RDS 等更多产品文档。</w:t>
      </w:r>
    </w:p>
    <w:p>
      <w:pPr>
        <w:pStyle w:val="ListBullet"/>
      </w:pPr>
      <w:r>
        <w:t>加入真实文档爬取、增量更新、向量索引增量刷新和重排序模型。</w:t>
      </w:r>
    </w:p>
    <w:p>
      <w:pPr>
        <w:pStyle w:val="ListBullet"/>
      </w:pPr>
      <w:r>
        <w:t>扩展为权限 Agent、故障排查 Agent、API Agent 和成本优化 Agent 的多智能体系统。</w:t>
      </w:r>
    </w:p>
    <w:p>
      <w:pPr>
        <w:pStyle w:val="Heading1"/>
      </w:pPr>
      <w:r>
        <w:rPr>
          <w:rFonts w:ascii="Calibri" w:hAnsi="Calibri" w:eastAsia="宋体"/>
          <w:b w:val="0"/>
        </w:rPr>
        <w:t>知识库资料来源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6FB"/>
          </w:tcPr>
          <w:p>
            <w:r>
              <w:t>来源</w:t>
            </w:r>
          </w:p>
        </w:tc>
        <w:tc>
          <w:tcPr>
            <w:tcW w:type="dxa" w:w="4680"/>
            <w:vAlign w:val="center"/>
            <w:shd w:fill="F2F6FB"/>
          </w:tcPr>
          <w:p>
            <w:r>
              <w:t>链接</w:t>
            </w:r>
          </w:p>
        </w:tc>
      </w:tr>
      <w:tr>
        <w:tc>
          <w:tcPr>
            <w:tcW w:type="dxa" w:w="4680"/>
            <w:vAlign w:val="center"/>
          </w:tcPr>
          <w:p>
            <w:r>
              <w:t>阿里云 OSS 官方文档</w:t>
            </w:r>
          </w:p>
        </w:tc>
        <w:tc>
          <w:tcPr>
            <w:tcW w:type="dxa" w:w="4680"/>
            <w:vAlign w:val="center"/>
          </w:tcPr>
          <w:p>
            <w:r>
              <w:t>https://www.alibabacloud.com/help/zh/oss/</w:t>
            </w:r>
          </w:p>
        </w:tc>
      </w:tr>
      <w:tr>
        <w:tc>
          <w:tcPr>
            <w:tcW w:type="dxa" w:w="4680"/>
            <w:vAlign w:val="center"/>
          </w:tcPr>
          <w:p>
            <w:r>
              <w:t>阿里云 OpenAPI 文档</w:t>
            </w:r>
          </w:p>
        </w:tc>
        <w:tc>
          <w:tcPr>
            <w:tcW w:type="dxa" w:w="4680"/>
            <w:vAlign w:val="center"/>
          </w:tcPr>
          <w:p>
            <w:r>
              <w:t>https://api.alibabacloud.com/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F6F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33D7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