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项目开发计划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课程项目交付文档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EACG-2026-PDP-002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商品文案生成与智能导购助手项目开发计划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项目概述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范围与交付物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组织与职责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生命周期与里程碑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工作分解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质量保证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配置与变更管理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风险管理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09  沟通计划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10  验收与收尾</w:t>
      </w:r>
    </w:p>
    <w:p>
      <w:r>
        <w:br w:type="page"/>
      </w:r>
    </w:p>
    <w:p>
      <w:pPr>
        <w:pStyle w:val="Heading1"/>
      </w:pPr>
      <w:r>
        <w:t>1 项目概述</w:t>
      </w:r>
    </w:p>
    <w:p>
      <w:r>
        <w:t>本项目以课程答辩和可持续演示为目标，建设一个包含真实业务数据模型、双角色界面、AI 工具链和容器部署方案的全栈应用。计划采用短周期迭代：先形成可运行骨架，再补齐业务闭环、质量验证和提交材料。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计划基线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2026-07-07 启动形成骨架；2026-07-15 完成当前实现与提交材料；后续保留答辩演练和缺陷修复缓冲。</w:t>
            </w:r>
          </w:p>
        </w:tc>
      </w:tr>
    </w:tbl>
    <w:p>
      <w:pPr>
        <w:spacing w:after="0"/>
      </w:pPr>
    </w:p>
    <w:p>
      <w:pPr>
        <w:pStyle w:val="Heading2"/>
      </w:pPr>
      <w:r>
        <w:t>1.1 目标</w:t>
      </w:r>
    </w:p>
    <w:p>
      <w:pPr>
        <w:pStyle w:val="ListBullet"/>
        <w:spacing w:after="60"/>
      </w:pPr>
      <w:r>
        <w:t>完成用户端与商家端关键业务闭环。</w:t>
      </w:r>
    </w:p>
    <w:p>
      <w:pPr>
        <w:pStyle w:val="ListBullet"/>
        <w:spacing w:after="60"/>
      </w:pPr>
      <w:r>
        <w:t>在无真实 AI 密钥时仍可完整演示。</w:t>
      </w:r>
    </w:p>
    <w:p>
      <w:pPr>
        <w:pStyle w:val="ListBullet"/>
        <w:spacing w:after="60"/>
      </w:pPr>
      <w:r>
        <w:t>形成容器化的一键部署和清晰的本地开发路径。</w:t>
      </w:r>
    </w:p>
    <w:p>
      <w:pPr>
        <w:pStyle w:val="ListBullet"/>
        <w:spacing w:after="60"/>
      </w:pPr>
      <w:r>
        <w:t>通过测试、构建、迁移和文档检查形成可验收版本。</w:t>
      </w:r>
    </w:p>
    <w:p>
      <w:pPr>
        <w:pStyle w:val="Heading1"/>
      </w:pPr>
      <w:r>
        <w:t>2 范围与交付物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58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主要交付物</w:t>
            </w:r>
          </w:p>
        </w:tc>
        <w:tc>
          <w:tcPr>
            <w:tcW w:type="dxa" w:w="272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策划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项目计划、分工表、风险清单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范围、责任、里程碑可追踪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需求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软件需求规约</w:t>
            </w:r>
          </w:p>
        </w:tc>
        <w:tc>
          <w:tcPr>
            <w:tcW w:type="dxa" w:w="272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角色、功能、接口、质量属性与验收口径明确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设计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系统架构与数据库设计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组件、部署、数据关系与安全决策一致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实现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Vue 前端、Flask 后端、迁移、容器配置</w:t>
            </w:r>
          </w:p>
        </w:tc>
        <w:tc>
          <w:tcPr>
            <w:tcW w:type="dxa" w:w="272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核心场景可运行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验证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测试用例、自动化测试、构建结果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高优先级用例无阻断缺陷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交付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用户手册、例会纪要、答辩 PPTX</w:t>
            </w:r>
          </w:p>
        </w:tc>
        <w:tc>
          <w:tcPr>
            <w:tcW w:type="dxa" w:w="272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材料可打开、内容一致、演示脚本可执行</w:t>
            </w:r>
          </w:p>
        </w:tc>
      </w:tr>
    </w:tbl>
    <w:p>
      <w:pPr>
        <w:spacing w:after="0"/>
      </w:pPr>
    </w:p>
    <w:p>
      <w:pPr>
        <w:pStyle w:val="Heading1"/>
      </w:pPr>
      <w:r>
        <w:t>3 组织与职责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58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4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47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项目负责人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范围、进度、风险、答辩统筹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前端开发</w:t>
            </w:r>
          </w:p>
        </w:tc>
        <w:tc>
          <w:tcPr>
            <w:tcW w:type="dxa" w:w="124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1~2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交互、页面、API 对接、前端构建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后端开发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1~2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接口、认证、AI、业务服务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</w:tr>
      <w:tr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数据与测试</w:t>
            </w:r>
          </w:p>
        </w:tc>
        <w:tc>
          <w:tcPr>
            <w:tcW w:type="dxa" w:w="124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模型、迁移、用例、回归</w:t>
            </w:r>
          </w:p>
        </w:tc>
        <w:tc>
          <w:tcPr>
            <w:tcW w:type="dxa" w:w="147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</w:tr>
      <w:t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文档与演示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全员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文档校核、演示数据、答辩讲解</w:t>
            </w:r>
          </w:p>
        </w:tc>
        <w:tc>
          <w:tcPr>
            <w:tcW w:type="dxa" w:w="147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</w:tr>
    </w:tbl>
    <w:p>
      <w:pPr>
        <w:spacing w:after="0"/>
      </w:pPr>
    </w:p>
    <w:p>
      <w:pPr>
        <w:pStyle w:val="Heading1"/>
      </w:pPr>
      <w:r>
        <w:t>4 生命周期与里程碑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08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出口工件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2026-07-07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项目骨架与运行说明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已形成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M2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2026-07-10</w:t>
            </w:r>
          </w:p>
        </w:tc>
        <w:tc>
          <w:tcPr>
            <w:tcW w:type="dxa" w:w="408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认证、双角色布局、核心模型</w:t>
            </w:r>
          </w:p>
        </w:tc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已形成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2026-07-13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商品、订单、AI、知识库、客服闭环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已形成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M4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408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文档、构建与提交候选版</w:t>
            </w:r>
          </w:p>
        </w:tc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2026-07-18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答辩演练与缺陷清零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计划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M6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2026-07-20</w:t>
            </w:r>
          </w:p>
        </w:tc>
        <w:tc>
          <w:tcPr>
            <w:tcW w:type="dxa" w:w="408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最终提交与归档</w:t>
            </w:r>
          </w:p>
        </w:tc>
        <w:tc>
          <w:tcPr>
            <w:tcW w:type="dxa" w:w="136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计划</w:t>
            </w:r>
          </w:p>
        </w:tc>
      </w:tr>
    </w:tbl>
    <w:p>
      <w:pPr>
        <w:spacing w:after="0"/>
      </w:pPr>
    </w:p>
    <w:p>
      <w:pPr>
        <w:pStyle w:val="Heading1"/>
      </w:pPr>
      <w:r>
        <w:t>5 工作任务分解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8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WBS</w:t>
            </w:r>
          </w:p>
        </w:tc>
        <w:tc>
          <w:tcPr>
            <w:tcW w:type="dxa" w:w="238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责任角色</w:t>
            </w:r>
          </w:p>
        </w:tc>
        <w:tc>
          <w:tcPr>
            <w:tcW w:type="dxa" w:w="130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1.1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需求梳理与范围冻结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负责人/全员</w:t>
            </w:r>
          </w:p>
        </w:tc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无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SRS 评审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2.1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数据库模型与迁移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后端/数据</w:t>
            </w:r>
          </w:p>
        </w:tc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1.1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迁移可执行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2.2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API 与认证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</w:t>
            </w:r>
          </w:p>
        </w:tc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2.1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路由与测试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2.3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AI Provider 与 RAG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</w:t>
            </w:r>
          </w:p>
        </w:tc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2.1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Mock/真实配置可切换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3.1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用户端页面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</w:t>
            </w:r>
          </w:p>
        </w:tc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2.2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交易主流程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3.2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商家端页面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</w:t>
            </w:r>
          </w:p>
        </w:tc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2.2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运营主流程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3.3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前后端联调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前后端</w:t>
            </w:r>
          </w:p>
        </w:tc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2.x/3.x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无阻断接口错误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4.1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自动化与手工测试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测试/全员</w:t>
            </w:r>
          </w:p>
        </w:tc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3.3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测试记录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4.2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容器部署与验收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后端/负责人</w:t>
            </w:r>
          </w:p>
        </w:tc>
        <w:tc>
          <w:tcPr>
            <w:tcW w:type="dxa" w:w="13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4.1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Compose 健康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5.1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文档与答辩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全员</w:t>
            </w:r>
          </w:p>
        </w:tc>
        <w:tc>
          <w:tcPr>
            <w:tcW w:type="dxa" w:w="130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4.x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材料齐套</w:t>
            </w:r>
          </w:p>
        </w:tc>
      </w:tr>
    </w:tbl>
    <w:p>
      <w:pPr>
        <w:spacing w:after="0"/>
      </w:pPr>
    </w:p>
    <w:p>
      <w:pPr>
        <w:pStyle w:val="Heading1"/>
      </w:pPr>
      <w:r>
        <w:t>6 质量保证计划</w:t>
      </w:r>
    </w:p>
    <w:p>
      <w:pPr>
        <w:pStyle w:val="ListBullet"/>
        <w:spacing w:after="60"/>
      </w:pPr>
      <w:r>
        <w:t>每个阶段以可运行工件为出口，不以文档完成代替功能完成。</w:t>
      </w:r>
    </w:p>
    <w:p>
      <w:pPr>
        <w:pStyle w:val="ListBullet"/>
        <w:spacing w:after="60"/>
      </w:pPr>
      <w:r>
        <w:t>后端执行 pytest、ruff、Flask 路由加载与 Alembic current；前端执行类型检查、生产构建和依赖审计。</w:t>
      </w:r>
    </w:p>
    <w:p>
      <w:pPr>
        <w:pStyle w:val="ListBullet"/>
        <w:spacing w:after="60"/>
      </w:pPr>
      <w:r>
        <w:t>关键场景至少覆盖正常流、校验失败、权限拒绝和外部依赖不可用。</w:t>
      </w:r>
    </w:p>
    <w:p>
      <w:pPr>
        <w:pStyle w:val="ListBullet"/>
        <w:spacing w:after="60"/>
      </w:pPr>
      <w:r>
        <w:t>文档中的接口、表名、命令与当前代码交叉核对。</w:t>
      </w:r>
    </w:p>
    <w:p>
      <w:pPr>
        <w:pStyle w:val="ListBullet"/>
        <w:spacing w:after="60"/>
      </w:pPr>
      <w:r>
        <w:t>答辩前按固定演示账号与固定种子数据完成一次全流程彩排。</w:t>
      </w:r>
    </w:p>
    <w:p>
      <w:pPr>
        <w:pStyle w:val="Heading1"/>
      </w:pPr>
      <w:r>
        <w:t>7 配置与变更管理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75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52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管理方式</w:t>
            </w:r>
          </w:p>
        </w:tc>
      </w:tr>
      <w:tr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源代码</w:t>
            </w:r>
          </w:p>
        </w:tc>
        <w:tc>
          <w:tcPr>
            <w:tcW w:type="dxa" w:w="65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Git 分支 + 代码评审；避免提交 .env、数据库、上传文件和构建缓存</w:t>
            </w:r>
          </w:p>
        </w:tc>
      </w:tr>
      <w:tr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</w:t>
            </w:r>
          </w:p>
        </w:tc>
        <w:tc>
          <w:tcPr>
            <w:tcW w:type="dxa" w:w="652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所有结构变更使用 Alembic；生产启动先 upgrade head</w:t>
            </w:r>
          </w:p>
        </w:tc>
      </w:tr>
      <w:tr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配置</w:t>
            </w:r>
          </w:p>
        </w:tc>
        <w:tc>
          <w:tcPr>
            <w:tcW w:type="dxa" w:w="65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.env.example 记录变量；密钥只在部署环境注入</w:t>
            </w:r>
          </w:p>
        </w:tc>
      </w:tr>
      <w:tr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需求</w:t>
            </w:r>
          </w:p>
        </w:tc>
        <w:tc>
          <w:tcPr>
            <w:tcW w:type="dxa" w:w="652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变更需标注影响的接口、模型、页面、测试和文档</w:t>
            </w:r>
          </w:p>
        </w:tc>
      </w:tr>
      <w:tr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发布</w:t>
            </w:r>
          </w:p>
        </w:tc>
        <w:tc>
          <w:tcPr>
            <w:tcW w:type="dxa" w:w="65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候选版执行验证清单并记录已知问题</w:t>
            </w:r>
          </w:p>
        </w:tc>
      </w:tr>
    </w:tbl>
    <w:p>
      <w:pPr>
        <w:spacing w:after="0"/>
      </w:pPr>
    </w:p>
    <w:p>
      <w:pPr>
        <w:pStyle w:val="Heading1"/>
      </w:pPr>
      <w:r>
        <w:t>8 风险管理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74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 AI 不可用/配额不足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高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 Mock；保留 OpenAI 兼容接口切换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采集站点规则变化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高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374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任务状态可见；演示使用种子数据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人员信息未最终确认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低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分工表保留待填写字段，提交前统一补齐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数据库配置错误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高</w:t>
            </w:r>
          </w:p>
        </w:tc>
        <w:tc>
          <w:tcPr>
            <w:tcW w:type="dxa" w:w="374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区分 SQLite 与 PostgreSQL；禁止静默回退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答辩现场网络不稳定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高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提前构建镜像与离线 Mock 演示；准备录屏/截图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文档与代码漂移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中</w:t>
            </w:r>
          </w:p>
        </w:tc>
        <w:tc>
          <w:tcPr>
            <w:tcW w:type="dxa" w:w="374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以路由、模型和构建结果为基线复核</w:t>
            </w:r>
          </w:p>
        </w:tc>
      </w:tr>
    </w:tbl>
    <w:p>
      <w:pPr>
        <w:spacing w:after="0"/>
      </w:pPr>
    </w:p>
    <w:p>
      <w:pPr>
        <w:pStyle w:val="Heading1"/>
      </w:pPr>
      <w:r>
        <w:t>9 沟通计划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98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38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参与人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站会/异步更新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开发期每日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进度、阻塞、当日目标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项目例会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每周或里程碑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全员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纪要、决策、行动项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需求/设计评审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阶段出口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负责人+相关开发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评审结论与变更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缺陷分诊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测试期每日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开发+测试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优先级与负责人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答辩彩排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提交前 2 次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全员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时间分配与问答清单</w:t>
            </w:r>
          </w:p>
        </w:tc>
      </w:tr>
    </w:tbl>
    <w:p>
      <w:pPr>
        <w:spacing w:after="0"/>
      </w:pPr>
    </w:p>
    <w:p>
      <w:pPr>
        <w:pStyle w:val="Heading1"/>
      </w:pPr>
      <w:r>
        <w:t>10 验收与收尾</w:t>
      </w:r>
    </w:p>
    <w:p>
      <w:pPr>
        <w:pStyle w:val="ListNumber"/>
        <w:spacing w:after="60"/>
      </w:pPr>
      <w:r>
        <w:t>冻结演示数据与候选版本。</w:t>
      </w:r>
    </w:p>
    <w:p>
      <w:pPr>
        <w:pStyle w:val="ListNumber"/>
        <w:spacing w:after="60"/>
      </w:pPr>
      <w:r>
        <w:t>执行后端、前端、迁移、Compose 与手工主流程检查。</w:t>
      </w:r>
    </w:p>
    <w:p>
      <w:pPr>
        <w:pStyle w:val="ListNumber"/>
        <w:spacing w:after="60"/>
      </w:pPr>
      <w:r>
        <w:t>逐份打开交付文件，检查页码、表格、图片与文件名。</w:t>
      </w:r>
    </w:p>
    <w:p>
      <w:pPr>
        <w:pStyle w:val="ListNumber"/>
        <w:spacing w:after="60"/>
      </w:pPr>
      <w:r>
        <w:t>完成答辩彩排，确认各成员讲解模块。</w:t>
      </w:r>
    </w:p>
    <w:p>
      <w:pPr>
        <w:pStyle w:val="ListNumber"/>
        <w:spacing w:after="60"/>
      </w:pPr>
      <w:r>
        <w:t>归档源代码、提交文档、Typst 源文件与最终 PPTX。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项目开发计划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2.项目开发计划-本项目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