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系统构架设计说明书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课程项目交付文档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EACG-2026-SAD-004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商品文案生成与智能导购助手系统构架设计说明书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简介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架构目标与约束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系统上下文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逻辑视图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运行时视图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部署视图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接口与数据视图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安全设计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09  质量属性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10  关键决策与演进</w:t>
      </w:r>
    </w:p>
    <w:p>
      <w:r>
        <w:br w:type="page"/>
      </w:r>
    </w:p>
    <w:p>
      <w:pPr>
        <w:pStyle w:val="Heading1"/>
      </w:pPr>
      <w:r>
        <w:t>1 简介</w:t>
      </w:r>
    </w:p>
    <w:p>
      <w:r>
        <w:t>本文档使用上下文、逻辑、运行时、部署和数据视图描述系统，并记录对演示可用性、部署方式、AI 可替换性和数据一致性影响最大的架构决策。</w:t>
      </w:r>
    </w:p>
    <w:p>
      <w:pPr>
        <w:pStyle w:val="Heading1"/>
      </w:pPr>
      <w:r>
        <w:t>2 架构目标与约束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目标/约束</w:t>
            </w:r>
          </w:p>
        </w:tc>
        <w:tc>
          <w:tcPr>
            <w:tcW w:type="dxa" w:w="600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设计响应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离线可演示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AI + SQLite；Redis 失败自动降级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生产可部署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组织 PostgreSQL、Redis、Gunicorn 和 Nginx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双角色隔离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JWT 身份 + role=merchant 后端校验；前端按角色加载布局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维护成本可控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后端蓝图/服务/模型分层，前端统一 API 与主题入口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第三方不稳定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Provider 抽象；采集任务化并暴露状态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课程时间有限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单体后端与单 SPA，避免过早拆分微服务</w:t>
            </w:r>
          </w:p>
        </w:tc>
      </w:tr>
    </w:tbl>
    <w:p>
      <w:pPr>
        <w:spacing w:after="0"/>
      </w:pPr>
    </w:p>
    <w:p>
      <w:pPr>
        <w:pStyle w:val="Heading1"/>
      </w:pPr>
      <w:r>
        <w:t>3 系统上下文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255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 系统上下文与部署边界</w:t>
      </w:r>
    </w:p>
    <w:p>
      <w:pPr>
        <w:pStyle w:val="Heading1"/>
      </w:pPr>
      <w:r>
        <w:t>4 逻辑视图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层/组件</w:t>
            </w:r>
          </w:p>
        </w:tc>
        <w:tc>
          <w:tcPr>
            <w:tcW w:type="dxa" w:w="340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7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主要实现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表现层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登录、用户前台、商家后台、AI 工具与反馈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Vue 3、Ant Design Vue、Tailwind、Motion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API 层</w:t>
            </w:r>
          </w:p>
        </w:tc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请求路由、校验、认证、错误响应</w:t>
            </w:r>
          </w:p>
        </w:tc>
        <w:tc>
          <w:tcPr>
            <w:tcW w:type="dxa" w:w="317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Flask 蓝图、Pydantic、JWT、CORS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业务服务层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AI、RAG、认证、上传、采集编排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backend/services、backend/crawler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数据访问层</w:t>
            </w:r>
          </w:p>
        </w:tc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会话、仓储、ORM 模型、迁移</w:t>
            </w:r>
          </w:p>
        </w:tc>
        <w:tc>
          <w:tcPr>
            <w:tcW w:type="dxa" w:w="317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SQLAlchemy、Alembic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基础设施层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数据库、缓存、外部 AI、Nginx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PostgreSQL/SQLite、Redis、OpenAI、Docker</w:t>
            </w:r>
          </w:p>
        </w:tc>
      </w:tr>
    </w:tbl>
    <w:p>
      <w:pPr>
        <w:spacing w:after="0"/>
      </w:pPr>
    </w:p>
    <w:p>
      <w:pPr>
        <w:pStyle w:val="Heading2"/>
      </w:pPr>
      <w:r>
        <w:t>4.1 后端蓝图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蓝图</w:t>
            </w:r>
          </w:p>
        </w:tc>
        <w:tc>
          <w:tcPr>
            <w:tcW w:type="dxa" w:w="63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api_bp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能力、公共商品、评论与统计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auth_bp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登录、注册、密码、个人资料、头像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merchant_bp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商品、知识库、订单、用户、运营看板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user_bp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购物车、订单、地址、收藏、历史、问答、评价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crawl_bp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采集预设、启动、状态、任务与统计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cs_bp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用户消息、商家线程、回复、已读与未读计数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docs_bp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API 文档页面与 OpenAPI JSON</w:t>
            </w:r>
          </w:p>
        </w:tc>
      </w:tr>
    </w:tbl>
    <w:p>
      <w:pPr>
        <w:spacing w:after="0"/>
      </w:pPr>
    </w:p>
    <w:p>
      <w:pPr>
        <w:pStyle w:val="Heading2"/>
      </w:pPr>
      <w:r>
        <w:t>4.2 前端组件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3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主要组件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入口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App.vue、Login.vue、api.ts、theme.ts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商家端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MerchantLayout、RevenueDashboard、ProductManage、OrderManage、UserManage、KnowledgeBaseManage、QAStats、MerchantCustomerService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用户端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UserLayout、ProductBrowse、ShoppingCart、MyOrders、UserProfile、CustomerService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工具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CopyGenerator、ReviewAnalyzer、LiveScriptGenerator、ChatWidget</w:t>
            </w:r>
          </w:p>
        </w:tc>
      </w:tr>
    </w:tbl>
    <w:p>
      <w:pPr>
        <w:spacing w:after="0"/>
      </w:pPr>
    </w:p>
    <w:p>
      <w:pPr>
        <w:pStyle w:val="Heading1"/>
      </w:pPr>
      <w:r>
        <w:t>5 运行时视图</w:t>
      </w:r>
    </w:p>
    <w:p>
      <w:pPr>
        <w:pStyle w:val="Heading2"/>
      </w:pPr>
      <w:r>
        <w:t>5.1 登录与授权</w:t>
      </w:r>
    </w:p>
    <w:p>
      <w:pPr>
        <w:pStyle w:val="ListNumber"/>
        <w:spacing w:after="60"/>
      </w:pPr>
      <w:r>
        <w:t>前端提交用户名、密码和选择的角色。</w:t>
      </w:r>
    </w:p>
    <w:p>
      <w:pPr>
        <w:pStyle w:val="ListNumber"/>
        <w:spacing w:after="60"/>
      </w:pPr>
      <w:r>
        <w:t>认证服务校验密码哈希，并拒绝角色与账号不匹配。</w:t>
      </w:r>
    </w:p>
    <w:p>
      <w:pPr>
        <w:pStyle w:val="ListNumber"/>
        <w:spacing w:after="60"/>
      </w:pPr>
      <w:r>
        <w:t>后端签发 24 小时 JWT，前端保存会话并调用 /api/auth/me。</w:t>
      </w:r>
    </w:p>
    <w:p>
      <w:pPr>
        <w:pStyle w:val="ListNumber"/>
        <w:spacing w:after="60"/>
      </w:pPr>
      <w:r>
        <w:t>受保护接口校验 JWT；商家接口进一步验证角色。</w:t>
      </w:r>
    </w:p>
    <w:p>
      <w:pPr>
        <w:pStyle w:val="ListNumber"/>
        <w:spacing w:after="60"/>
      </w:pPr>
      <w:r>
        <w:t>401/403 时前端清理无效会话并提示重新登录。</w:t>
      </w:r>
    </w:p>
    <w:p>
      <w:pPr>
        <w:pStyle w:val="Heading2"/>
      </w:pPr>
      <w:r>
        <w:t>5.2 AI / RAG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4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2  AI 请求的运行时流程</w:t>
      </w:r>
    </w:p>
    <w:p>
      <w:pPr>
        <w:pStyle w:val="Heading2"/>
      </w:pPr>
      <w:r>
        <w:t>5.3 订单状态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85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允许动作</w:t>
            </w:r>
          </w:p>
        </w:tc>
        <w:tc>
          <w:tcPr>
            <w:tcW w:type="dxa" w:w="243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目标状态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pending</w:t>
            </w:r>
          </w:p>
        </w:tc>
        <w:tc>
          <w:tcPr>
            <w:tcW w:type="dxa" w:w="385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用户支付 / 用户或商家取消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paid / cancelled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paid</w:t>
            </w:r>
          </w:p>
        </w:tc>
        <w:tc>
          <w:tcPr>
            <w:tcW w:type="dxa" w:w="385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商家发货</w:t>
            </w:r>
          </w:p>
        </w:tc>
        <w:tc>
          <w:tcPr>
            <w:tcW w:type="dxa" w:w="243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shipped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shipped</w:t>
            </w:r>
          </w:p>
        </w:tc>
        <w:tc>
          <w:tcPr>
            <w:tcW w:type="dxa" w:w="385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用户确认收货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completed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paid/shipped/completed</w:t>
            </w:r>
          </w:p>
        </w:tc>
        <w:tc>
          <w:tcPr>
            <w:tcW w:type="dxa" w:w="385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用户申请退换</w:t>
            </w:r>
          </w:p>
        </w:tc>
        <w:tc>
          <w:tcPr>
            <w:tcW w:type="dxa" w:w="243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returning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returning</w:t>
            </w:r>
          </w:p>
        </w:tc>
        <w:tc>
          <w:tcPr>
            <w:tcW w:type="dxa" w:w="385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用户提交退货单号 / 商家完成售后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returned / refunded/exchanged</w:t>
            </w:r>
          </w:p>
        </w:tc>
      </w:tr>
    </w:tbl>
    <w:p>
      <w:pPr>
        <w:spacing w:after="0"/>
      </w:pPr>
    </w:p>
    <w:p>
      <w:pPr>
        <w:pStyle w:val="Heading1"/>
      </w:pPr>
      <w:r>
        <w:t>6 部署视图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容器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端口/网络</w:t>
            </w:r>
          </w:p>
        </w:tc>
        <w:tc>
          <w:tcPr>
            <w:tcW w:type="dxa" w:w="215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持久化</w:t>
            </w:r>
          </w:p>
        </w:tc>
        <w:tc>
          <w:tcPr>
            <w:tcW w:type="dxa" w:w="215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健康/启动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frontend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宿主 8080 → Nginx 80</w:t>
            </w:r>
          </w:p>
        </w:tc>
        <w:tc>
          <w:tcPr>
            <w:tcW w:type="dxa" w:w="21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静态构建</w:t>
            </w:r>
          </w:p>
        </w:tc>
        <w:tc>
          <w:tcPr>
            <w:tcW w:type="dxa" w:w="21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依赖 backend；代理 /api 与 /health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backend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宿主 127.0.0.1:8000</w:t>
            </w:r>
          </w:p>
        </w:tc>
        <w:tc>
          <w:tcPr>
            <w:tcW w:type="dxa" w:w="215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uploads 可挂载</w:t>
            </w:r>
          </w:p>
        </w:tc>
        <w:tc>
          <w:tcPr>
            <w:tcW w:type="dxa" w:w="215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先 Alembic，再 Gunicorn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容器 5432</w:t>
            </w:r>
          </w:p>
        </w:tc>
        <w:tc>
          <w:tcPr>
            <w:tcW w:type="dxa" w:w="21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postgres_data volume</w:t>
            </w:r>
          </w:p>
        </w:tc>
        <w:tc>
          <w:tcPr>
            <w:tcW w:type="dxa" w:w="21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数据库健康检查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redis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容器 6379</w:t>
            </w:r>
          </w:p>
        </w:tc>
        <w:tc>
          <w:tcPr>
            <w:tcW w:type="dxa" w:w="215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可选持久化</w:t>
            </w:r>
          </w:p>
        </w:tc>
        <w:tc>
          <w:tcPr>
            <w:tcW w:type="dxa" w:w="215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连接失败业务降级</w:t>
            </w:r>
          </w:p>
        </w:tc>
      </w:tr>
    </w:tbl>
    <w:p>
      <w:pPr>
        <w:spacing w:after="0"/>
      </w:pPr>
    </w:p>
    <w:p>
      <w:pPr>
        <w:pStyle w:val="Heading1"/>
      </w:pPr>
      <w:r>
        <w:t>7 接口与数据视图</w:t>
      </w:r>
    </w:p>
    <w:p>
      <w:r>
        <w:t>接口采用 JSON/REST 风格，以资源和业务动作组合命名。OpenAPI 页面覆盖核心公共 AI 接口，完整契约仍以 Flask 路由和请求模型为准。数据关系详见《数据库设计说明书》。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203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3  数据关系概览</w:t>
      </w:r>
    </w:p>
    <w:p>
      <w:pPr>
        <w:pStyle w:val="Heading1"/>
      </w:pPr>
      <w:r>
        <w:t>8 安全设计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600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弱口令/口令泄露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scrypt 哈希；生产修改默认账号与密码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令牌伪造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至少 32 字符随机 JWT_SECRET；HTTPS；短期令牌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越权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服务端 JWT 与角色校验，不依赖前端菜单隐藏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跨域滥用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CORS_ORIGINS 白名单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恶意上传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扩展名、大小、随机文件名与受控目录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密钥泄露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.env 不入库，日志不打印 AI_API_KEY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敏感数据扩散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限制商家查询范围、备份加密与定期清理</w:t>
            </w:r>
          </w:p>
        </w:tc>
      </w:tr>
    </w:tbl>
    <w:p>
      <w:pPr>
        <w:spacing w:after="0"/>
      </w:pPr>
    </w:p>
    <w:p>
      <w:pPr>
        <w:pStyle w:val="Heading1"/>
      </w:pPr>
      <w:r>
        <w:t>9 质量属性场景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0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1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可用性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Redis 宕机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请求继续，无缓存；记录警告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可部署性</w:t>
            </w:r>
          </w:p>
        </w:tc>
        <w:tc>
          <w:tcPr>
            <w:tcW w:type="dxa" w:w="30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新环境上线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Compose 构建、迁移、健康检查后可访问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性能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用户仅访问登录页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业务页面异步加载，避免下载全后台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可修改性</w:t>
            </w:r>
          </w:p>
        </w:tc>
        <w:tc>
          <w:tcPr>
            <w:tcW w:type="dxa" w:w="30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替换 AI 服务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实现 AIProvider，不改路由与前端契约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可靠性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PostgreSQL 配置错误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明确失败，不静默写入 SQLite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可测试性</w:t>
            </w:r>
          </w:p>
        </w:tc>
        <w:tc>
          <w:tcPr>
            <w:tcW w:type="dxa" w:w="30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无外网/无密钥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AI 返回确定性结果</w:t>
            </w:r>
          </w:p>
        </w:tc>
      </w:tr>
    </w:tbl>
    <w:p>
      <w:pPr>
        <w:spacing w:after="0"/>
      </w:pPr>
    </w:p>
    <w:p>
      <w:pPr>
        <w:pStyle w:val="Heading1"/>
      </w:pPr>
      <w:r>
        <w:t>10 关键决策与演进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40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260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未来触发条件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模块化单体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课程规模下交付与调试成本最低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团队/流量显著增长再拆服务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OpenAI 兼容抽象</w:t>
            </w:r>
          </w:p>
        </w:tc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降低供应商绑定并保留本地 Mock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引入多模型路由与用量计费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数据库双模式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SQLite 便于演示，PostgreSQL 适合部署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生产统一 PostgreSQL 后删除兼容分支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Redis 可选</w:t>
            </w:r>
          </w:p>
        </w:tc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缓存不应阻断核心业务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引入分布式任务后提升为必选依赖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Nginx 同源代理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简化 CORS 与前端配置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多域部署时显式配置 API 基址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系统构架设计说明书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3.系统构架设计说明书-本项目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