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并提示先删除活动。故不存在"活动引用中的券被悄然下架"的情况。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：状态仅由开始 / 结束时间由系统定时任务驱动（未开始 → 进行中 → 已结束），</w:t>
      </w:r>
      <w:r>
        <w:rPr>
          <w:rFonts w:eastAsia="Microsoft YaHei" w:ascii="Microsoft YaHei" w:hAnsi="Microsoft YaHei"/>
          <w:b/>
        </w:rPr>
        <w:t>无手动停用 / 暂停态</w:t>
      </w:r>
      <w:r>
        <w:rPr>
          <w:rFonts w:eastAsia="Microsoft YaHei" w:ascii="Microsoft YaHei" w:hAnsi="Microsoft YaHei"/>
          <w:b w:val="0"/>
        </w:rPr>
        <w:t>。进行中活动如需停止发放，须</w:t>
      </w:r>
      <w:r>
        <w:rPr>
          <w:rFonts w:eastAsia="Microsoft YaHei" w:ascii="Microsoft YaHei" w:hAnsi="Microsoft YaHei"/>
          <w:b/>
        </w:rPr>
        <w:t>删除该活动</w:t>
      </w:r>
      <w:r>
        <w:rPr>
          <w:rFonts w:eastAsia="Microsoft YaHei" w:ascii="Microsoft YaHei" w:hAnsi="Microsoft YaHei"/>
          <w:b w:val="0"/>
        </w:rPr>
        <w:t>（删除不影响已发放券实例，见 §4.1.4）。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Tag，不可改）。满折券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券模板配置（新建/编辑/下架/删除）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沿用既有设计：启用态券只能「下架」不能直接删除；下架后变为「删除」入口。下架入口仅置于 P1 列表操作列（不在 D1 券详情页），便于运营在列表中统一管理券生命周期。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固定展示「满减券」，不可选择、不可修改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§4.3.6）；</w:t>
            </w:r>
            <w:r>
              <w:rPr>
                <w:rFonts w:eastAsia="Microsoft YaHei" w:ascii="Microsoft YaHei" w:hAnsi="Microsoft YaHei"/>
                <w:b/>
              </w:rPr>
              <w:t>仅新建可录入，不支持后续修改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编辑态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底价不支持修改</w:t>
      </w:r>
      <w:r>
        <w:rPr>
          <w:rFonts w:eastAsia="Microsoft YaHei" w:ascii="Microsoft YaHei" w:hAnsi="Microsoft YaHei"/>
          <w:b w:val="0"/>
        </w:rPr>
        <w:t>（用户裁定）。编辑券模板时底价字段</w:t>
      </w:r>
      <w:r>
        <w:rPr>
          <w:rFonts w:eastAsia="Microsoft YaHei" w:ascii="Microsoft YaHei" w:hAnsi="Microsoft YaHei"/>
          <w:b/>
        </w:rPr>
        <w:t>只读/禁用</w:t>
      </w:r>
      <w:r>
        <w:rPr>
          <w:rFonts w:eastAsia="Microsoft YaHei" w:ascii="Microsoft YaHei" w:hAnsi="Microsoft YaHei"/>
          <w:b w:val="0"/>
        </w:rPr>
        <w:t>（灰显），仅可在新建时录入一次；已发放与未发放的券模板均不可改底价。故不存在「已发放券改底价影响 C 端结算」问题。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保存</w:t>
      </w:r>
      <w:r>
        <w:rPr>
          <w:rFonts w:eastAsia="Microsoft YaHei" w:ascii="Microsoft YaHei" w:hAnsi="Microsoft YaHei"/>
          <w:b w:val="0"/>
        </w:rPr>
        <w:t>：写发券活动记录（触发源/阈值文本/等级/券模板/每人上限/开始时间）→ 列表置顶。</w:t>
      </w:r>
    </w:p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>的活动可点击（进行中 / 已结束的活动不可编辑规则引擎配置）；「删除」需二次确认弹窗（"确认删除该发券活动？删除后不可恢复"），删除不影响已发放券实例。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数据一致性：删除发券活动时，已发放的券实例不受影响（券实例独立于活动存在）；编辑活动规则不影响已发放的历史券。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：发放前引擎校验关联券模板的</w:t>
      </w:r>
      <w:r>
        <w:rPr>
          <w:rFonts w:eastAsia="Microsoft YaHei" w:ascii="Microsoft YaHei" w:hAnsi="Microsoft YaHei"/>
          <w:b/>
        </w:rPr>
        <w:t>使用状态</w:t>
      </w:r>
      <w:r>
        <w:rPr>
          <w:rFonts w:eastAsia="Microsoft YaHei" w:ascii="Microsoft YaHei" w:hAnsi="Microsoft YaHei"/>
          <w:b w:val="0"/>
        </w:rPr>
        <w:t>，若=「已结束 / 已删除」（即已被「撤回」），则该券本期</w:t>
      </w:r>
      <w:r>
        <w:rPr>
          <w:rFonts w:eastAsia="Microsoft YaHei" w:ascii="Microsoft YaHei" w:hAnsi="Microsoft YaHei"/>
          <w:b/>
        </w:rPr>
        <w:t>不再向用户发放</w:t>
      </w:r>
      <w:r>
        <w:rPr>
          <w:rFonts w:eastAsia="Microsoft YaHei" w:ascii="Microsoft YaHei" w:hAnsi="Microsoft YaHei"/>
          <w:b w:val="0"/>
        </w:rPr>
        <w:t>（其余关联券正常发放）并记发放日志；用户已持有的该券实例不受影响（仍可按其使用状态正常使用）。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核销量 / 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趋势数据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 redeem_time 聚合《核销流水表》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4.1.6.4 券明细记录字段表（按券实例 / 券ID 维度，每行一条发放明细）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该券实例是否已发放给接收用户（已发放 / 未发放）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查询：是否发放下拉（是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接收用户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接收该券实例的用户（user_id 或 手机号）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/ 未核销）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核销该券实例对应的订单号（未核销时为空）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4.1.6.5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是否发放 / 发放时间 / 接收用户 / 是否核销 / 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列表附加规则：排序：按发放时间倒序；分页：支持 20/50/100，默认 20；数据唯一判断：券ID 唯一。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入口调整（评审第7点）</w:t>
      </w:r>
      <w:r>
        <w:rPr>
          <w:rFonts w:eastAsia="Microsoft YaHei" w:ascii="Microsoft YaHei" w:hAnsi="Microsoft YaHei"/>
          <w:b w:val="0"/>
        </w:rPr>
        <w:t>：用户券查询不再作为平台端后台独立一级菜单，改为</w:t>
      </w:r>
      <w:r>
        <w:rPr>
          <w:rFonts w:eastAsia="Microsoft YaHei" w:ascii="Microsoft YaHei" w:hAnsi="Microsoft YaHei"/>
          <w:b/>
        </w:rPr>
        <w:t>会员管理（用户管理）模块 → 用户详情页的一个 Tab</w:t>
      </w:r>
      <w:r>
        <w:rPr>
          <w:rFonts w:eastAsia="Microsoft YaHei" w:ascii="Microsoft YaHei" w:hAnsi="Microsoft YaHei"/>
          <w:b w:val="0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4"/>
      </w:pPr>
      <w:r>
        <w:rPr>
          <w:rFonts w:eastAsia="Microsoft YaHei" w:ascii="Microsoft YaHei" w:hAnsi="Microsoft YaHei"/>
        </w:rPr>
        <w:t>4.1.7.1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列表附加规则：排序：按领取时间倒序；分页：支持 20/50/100，默认 20；数据唯一判断：券码唯一。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4.1.7.3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不满足门槛/适用范围/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如「未满100元可用」；端口不匹配时点击提示「此券仅支持在 {usable_ports 端口名称} 使用」（见 §4.3.5）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门槛≤订单金额）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4.3.6.7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10.5 会员直接发券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：平台端后台为运营提供「针对单个会员直接发券」的能力。运营在用户详情页或会员列表中，选择目标用户和券模板，一键发放。适用于客服补偿、运营手动触达等单点场景。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：直接发券是批量送券的「单条」版本，同样调用券模板发券接口写入用户券账户；单条发放不做标签筛选，直接指定用户 ID。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https://ddyuan-spec.github.io/taixiaohu/coupon-direct-send.html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会员直接发券原型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10.6 直播观看记录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：平台端后台展示用户在直播间的观看时长记录，支持按直播间、用户、时间段筛选。为「时长发券」提供数据依据——运营可查看哪些用户满足「观看满 X 分钟」条件，校验发券名单的准确性。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：直播观看记录是「时长发券」的前置数据源，发券规则中的「累计观看时长 ≥ X」条件依赖此记录计算；同时，已发券用户的观看记录可辅助验证发券覆盖范围。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9">
        <w:r>
          <w:rPr>
            <w:rStyle w:val="Hyperlink"/>
          </w:rPr>
          <w:t>https://ddyuan-spec.github.io/taixiaohu/coupon-live-viewlog.html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直播观看记录原型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member.html" TargetMode="External"/><Relationship Id="rId36" Type="http://schemas.openxmlformats.org/officeDocument/2006/relationships/hyperlink" Target="https://ddyuan-spec.github.io/taixiaohu/coupon-relate-live.html" TargetMode="External"/><Relationship Id="rId37" Type="http://schemas.openxmlformats.org/officeDocument/2006/relationships/hyperlink" Target="https://ddyuan-spec.github.io/taixiaohu/coupon-order-relate.html" TargetMode="External"/><Relationship Id="rId38" Type="http://schemas.openxmlformats.org/officeDocument/2006/relationships/hyperlink" Target="https://ddyuan-spec.github.io/taixiaohu/coupon-direct-send.html" TargetMode="External"/><Relationship Id="rId39" Type="http://schemas.openxmlformats.org/officeDocument/2006/relationships/hyperlink" Target="https://ddyuan-spec.github.io/taixiaohu/coupon-live-viewlo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