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coupon_template_id=当前券 AND pay_status='已退款')，即该券模板已支付后发生退款的订单笔数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coupon_template_id=当前券 AND pay_status='已退款' 的 refund_amount)，即该券模板所有退款订单的实际退款金额合计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退单统计口径（强约束）</w:t>
      </w:r>
      <w:r>
        <w:rPr>
          <w:rFonts w:eastAsia="Microsoft YaHei" w:ascii="Microsoft YaHei" w:hAnsi="Microsoft YaHei"/>
          <w:b w:val="0"/>
        </w:rPr>
        <w:t xml:space="preserve">：退单量 / 退单金额仅统计 </w:t>
      </w:r>
      <w:r>
        <w:rPr>
          <w:rFonts w:eastAsia="Microsoft YaHei" w:ascii="Microsoft YaHei" w:hAnsi="Microsoft YaHei"/>
          <w:b/>
        </w:rPr>
        <w:t>已支付后发生退款</w:t>
      </w:r>
      <w:r>
        <w:rPr>
          <w:rFonts w:eastAsia="Microsoft YaHei" w:ascii="Microsoft YaHei" w:hAnsi="Microsoft YaHei"/>
          <w:b w:val="0"/>
        </w:rPr>
        <w:t>的订单（pay_status='已退款'）。</w:t>
      </w:r>
      <w:r>
        <w:rPr>
          <w:rFonts w:eastAsia="Microsoft YaHei" w:ascii="Microsoft YaHei" w:hAnsi="Microsoft YaHei"/>
          <w:b/>
        </w:rPr>
        <w:t>「未支付取消」「订单关闭未支付」等未支付状态的订单不计入退单</w:t>
      </w:r>
      <w:r>
        <w:rPr>
          <w:rFonts w:eastAsia="Microsoft YaHei" w:ascii="Microsoft YaHei" w:hAnsi="Microsoft YaHei"/>
          <w:b w:val="0"/>
        </w:rPr>
        <w:t>，亦不计入核销、已支付等任何正向指标。退单率 = 退单量 ÷ 已支付笔数 × 100%。</w:t>
      </w:r>
    </w:p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20）；合计行（最末行）：总发行量/已领取/核销量/核销金额/退单量/退单金额六列求和，领取率/核销率显示全量均值。空态：无数据时显示"暂无统计数据"。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数据看板三个维度列表（按券维度 / 按发放活动 / 券明细记录）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手机号完整展示）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 xml:space="preserve">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（侧边栏独立菜单项，位于「关联查询」分组下，与「营销应用」分组的「优惠券管理」「发券活动管理」「数据看板」为同级导航）。导航路径：营销后台 / 关联查询 / 用户券查询。</w:t>
      </w:r>
    </w:p>
    <w:p>
      <w:r>
        <w:rPr>
          <w:rFonts w:eastAsia="Microsoft YaHei" w:ascii="Microsoft YaHei" w:hAnsi="Microsoft YaHei"/>
          <w:b/>
        </w:rPr>
        <w:t>页面结构</w:t>
      </w:r>
      <w:r>
        <w:rPr>
          <w:rFonts w:eastAsia="Microsoft YaHei" w:ascii="Microsoft YaHei" w:hAnsi="Microsoft YaHei"/>
          <w:b w:val="0"/>
        </w:rPr>
        <w:t>：页面分为三区域——① 用户信息卡片（顶部，展示当前查询用户的 ID / 手机号 / 会员级别 / 注册时间 / 消费金额 / 领券数量 + 操作按钮）；② 查询条件栏（用户ID或手机号输入 + 券状态下拉 + 查询/重置按钮）；③ 券实例列表表格（分页展示该用户所有领取的券记录）。</w:t>
      </w:r>
    </w:p>
    <w:p>
      <w:pPr>
        <w:pStyle w:val="Heading4"/>
      </w:pPr>
      <w:r>
        <w:rPr>
          <w:rFonts w:eastAsia="Microsoft YaHei" w:ascii="Microsoft YaHei" w:hAnsi="Microsoft YaHei"/>
        </w:rPr>
        <w:t>4.1.7.1 用户信息卡片字段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系统分配的用户唯一标识（如 U6492）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完整展示（11 位），如 13712349042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会员级别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当前会员等级（普通会员 / 高级会员 / VIP 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《用户表》member_level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注册时间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用户注册账号的时间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消费金额（元）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历史累计消费总额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《订单表》SUM(pay_amount) WHERE user_id=当前用户 AND pay_status='已支付'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该用户累计领取的券实例总数（含已使用/已过期）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user_id=当前用户)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「查看会员」→跳转至会员详情页；「切换用户」→清空查询条件回到初始状态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4.1.7.3 列表字段表（字段名称 / 需求说明 / 数据来源）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同「领取时间」，便于运营快速定位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券实例唯一码（等宽字体展示，如 S5196052340120804320）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《用户券表》coupon_code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《券模板表》coupon_name（JOIN coupon_template_id）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 / 手动运营 / 签到奖励等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《用户券表》source + 《发券活动表》activity_name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券实例过期时间（expire_time）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《用户券表》expire_time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未使用（绿色）/ 已使用（蓝色）/ 已过期（灰色）；已使用时显示核销订单号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已核销时展示关联订单号；未核销/已过期显示"—"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《用户券表》order_no（LEFT JOIN 订单表）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列表附加规则：排序默认按领取时间倒序；分页：见 §4.1.6.5.1 分页展示规范（本维度每页条数选项 10/20/50，默认 20）；数据唯一判断：券码唯一。空态：无数据时显示"该用户暂无优惠券记录"。</w:t>
      </w:r>
    </w:p>
    <w:p>
      <w:pPr>
        <w:pStyle w:val="Heading4"/>
      </w:pPr>
      <w:r>
        <w:rPr>
          <w:rFonts w:eastAsia="Microsoft YaHei" w:ascii="Microsoft YaHei" w:hAnsi="Microsoft YaHei"/>
        </w:rPr>
        <w:t>4.1.7.4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用户信息卡片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《用户表》（user_id / phone / member_level / created_at）+ 《订单表》聚合消费金额 + 《用户券表》COUNT 领券数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《用户表》按 user_id 或 phone 精确匹配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筛选；JOIN 《券模板表》取券名；LEFT JOIN 《发券活动表》取来源名；LEFT JOIN 《订单表》取核销订单号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4.1.7.5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显示位置：平台端后台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（侧边栏独立菜单项，位于「关联查询」分组）；页面顶部展示用户信息卡片（头像/ID/手机号/会员级别/注册时间/消费金额/领券数量），卡片右侧提供「查看会员」（跳转会员详情）和「切换用户」按钮。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10/20/50 条，默认 20；列表按领取时间倒序排列。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状态标签颜色：未使用=绿色(#67c23a)、已使用=蓝色(#409eff)、已过期=灰色(#909399)。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未登录拦截：平台端后台需登录且具备「优惠券管理」权限，无权限→403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防重复提交，请求完成后恢复可用状态；「重置」清空所有筛选条件并自动重新查询（回到默认全部状态）；「切换用户」清空搜索框和状态下拉，重置到第 1 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退单口径一致性：已使用的券即使关联订单发生退款，券状态仍保持「已使用」不回滚（与 §4.6 券状态机一致）。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端（本期新增：券规则页 + 我的优惠券 + 下单核销）</w:t>
      </w:r>
      <w:r>
        <w:rPr>
          <w:rFonts w:eastAsia="Microsoft YaHei" w:ascii="Microsoft YaHei" w:hAnsi="Microsoft YaHei"/>
          <w:b w:val="0"/>
        </w:rPr>
        <w:t>⚠️ 商品详情页领券入口已移至二期（§11.2.1）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</w:t>
      </w:r>
      <w:r>
        <w:rPr>
          <w:rFonts w:eastAsia="Microsoft YaHei" w:ascii="Microsoft YaHei" w:hAnsi="Microsoft YaHei"/>
          <w:b/>
        </w:rPr>
        <w:t>商品详情页优惠券入口条与优惠详情弹窗（原 §4.3.1）已移至二期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 11.2.1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用户在 </w:t>
      </w:r>
      <w:r>
        <w:rPr>
          <w:rFonts w:eastAsia="Microsoft YaHei" w:ascii="Microsoft YaHei" w:hAnsi="Microsoft YaHei"/>
          <w:b/>
        </w:rPr>
        <w:t>我的优惠券</w:t>
      </w:r>
      <w:r>
        <w:rPr>
          <w:rFonts w:eastAsia="Microsoft YaHei" w:ascii="Microsoft YaHei" w:hAnsi="Microsoft YaHei"/>
          <w:b w:val="0"/>
        </w:rPr>
        <w:t xml:space="preserve"> 页 → 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（二期）用户进入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 xml:space="preserve"> → 点击 → 「优惠详情」弹窗 → 「券规则 ›」→ 跳转本页（见 §11.2.1）。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2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3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4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商品详情页优惠券入口与优惠详情弹窗（原 §4.3.1）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商品详情页价格区下方优惠券入口条 + 底部拉起优惠详情弹窗（可用券列表+券规则跳转）；入口条显示条件、文案规则、弹窗交互逻辑详见原 §4.3.1 完整需求。本期不做，移入二期。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§4.3.1（已删除并迁移至此）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11.2.4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hyperlink" Target="https://ddyuan-spec.github.io/taixiaohu/taixiaohu-tracking-spec.html" TargetMode="External"/><Relationship Id="rId33" Type="http://schemas.openxmlformats.org/officeDocument/2006/relationships/hyperlink" Target="https://ddyuan-spec.github.io/taixiaohu/coupon-member.html" TargetMode="External"/><Relationship Id="rId34" Type="http://schemas.openxmlformats.org/officeDocument/2006/relationships/hyperlink" Target="https://ddyuan-spec.github.io/taixiaohu/coupon-relate-live.html" TargetMode="External"/><Relationship Id="rId35" Type="http://schemas.openxmlformats.org/officeDocument/2006/relationships/hyperlink" Target="https://ddyuan-spec.github.io/taixiaohu/coupon-order-relat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