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：支持 7 类触发源 + 动态阈值 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个发券活动引用，请先停用相关活动后再下架"，必须将引用活动置为「停用 / 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并提示先停用活动。故不存在"活动引用中的券被悄然下架"的情况。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运营操作 + confirm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仍在活动时间范围内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系统发券触达（多券模板每种1张）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同名券，多项以「、」连接）；一项都没勾选时展示「不共用」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臻享积分 / 多盒多折 / 同名券，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；勾选表示本券允许与该项优惠在同一笔订单中叠加计算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（=不与任何其他优惠共用）；无必填校验，允许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旁可录入该商品底价；底价 = 该商品允许成交的最低实付单价，叠加/用券后实付不得低于此值；默认留空（=不限制）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，min=0，step=0.01；可留空（=不限制）；</w:t>
            </w:r>
            <w:r>
              <w:rPr>
                <w:rFonts w:ascii="微软雅黑" w:hAnsi="微软雅黑" w:eastAsia="微软雅黑"/>
                <w:b/>
                <w:sz w:val="19"/>
              </w:rPr>
              <w:t>不强制必填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商品底价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表单字段表「校验规则」列）；商品底价编辑后影响 C 端后续结算保护值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本券可与「臻享积分抵现」在同一订单中同时使用，两者优惠金额相加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本券可与商品「多盒多折」促销叠加，先按多盒多折算出商品实付价，再由本券在该实付价基础上做满减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同名券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同一用户持有的</w:t>
            </w:r>
            <w:r>
              <w:rPr>
                <w:rFonts w:ascii="微软雅黑" w:hAnsi="微软雅黑" w:eastAsia="微软雅黑"/>
                <w:b/>
                <w:sz w:val="19"/>
              </w:rPr>
              <w:t>同一券模板</w:t>
            </w:r>
            <w:r>
              <w:rPr>
                <w:rFonts w:ascii="微软雅黑" w:hAnsi="微软雅黑" w:eastAsia="微软雅黑"/>
                <w:sz w:val="19"/>
              </w:rPr>
              <w:t>的多张券可在同一订单中叠加使用（张数上限受「每人领取」约束）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，即该券为「独占型」——下单时若已选用其他优惠（臻享积分/多盒多折/同名券），本券置灰不可选，并提示「该券不可与已选优惠同时使用」。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：三项枚举编码命名是否与既有促销体系字典表一致；「同名券」叠加张数是否需要独立上限字段（当前复用「每人领取」）。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与「同名券」叠加</w:t>
      </w:r>
      <w:r>
        <w:rPr>
          <w:rFonts w:ascii="微软雅黑" w:hAnsi="微软雅黑" w:eastAsia="微软雅黑"/>
          <w:sz w:val="21"/>
        </w:rPr>
        <w:t>：若同时勾选「阶梯优惠券」+「同名券」，多张同名阶梯券的减免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；空值 = 不限制（0.00 视为不限制）。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：同其他字段可编辑（见 §4.1.3.0）；⚠️ 已发放券修改底价将影响已持有该券用户在 C 端的结算保护值，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：已发放券是否允许改底价，还是改后仅对新发放券生效。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臻享积分抵现（支付级）。底价保护在「优惠券满减」步骤后、逐商品核算实付时触发。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，确认订单页置灰并提示「该商品受底价保护，本券不可用」。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：底价保护的计算基数是否包含赠品/换购商品金额（同 §4.1.3.3 阶梯计算基数口径保持一致）。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 7 选 1：直播时长/支付完成/注册完成/首单完成/连续签到/浏览商品/分享活动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（未选禁止保存）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阈值标签随触发源动态变化：直播时长=观看阈值（满X分钟）；支付完成=支付阈值（满X元）；连续签到=签到阈值（连续X天）；浏览商品=浏览阈值（满X分钟）；分享活动=分享阈值（X次）；注册完成/首单完成无阈值（隐藏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带阈值的触发源（直播时长/支付完成/连续签到/浏览商品/分享活动）</w:t>
            </w:r>
            <w:r>
              <w:rPr>
                <w:rFonts w:ascii="微软雅黑" w:hAnsi="微软雅黑" w:eastAsia="微软雅黑"/>
                <w:b/>
                <w:sz w:val="19"/>
              </w:rPr>
              <w:t>必填≥1</w:t>
            </w:r>
            <w:r>
              <w:rPr>
                <w:rFonts w:ascii="微软雅黑" w:hAnsi="微软雅黑" w:eastAsia="微软雅黑"/>
                <w:sz w:val="19"/>
              </w:rPr>
              <w:t>；注册完成/首单完成隐藏无校验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snThresholdText 计算；标签文本见原型 D3 表单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仅触发源=直播时长显示；下拉选直播标签（数据来源：平台「营销管理」·标签类型=直播标签，默认内置标签「福利直播」（标签描述：可发券直播））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触发源=直播时长时</w:t>
            </w:r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其他触发源隐藏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动态表单联动：触发源切换时，观看阈值标签文本与输入框联动显示/隐藏（注册完成/首单完成隐藏阈值）；触发源=直播时长时显示「关联直播标签」下拉，其他触发源自动隐藏该字段。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按钮状态切换：「新建活动」始终可用；「编辑」仅对未开始/已暂停的活动可点击（进行中的活动不可编辑规则引擎配置）；「删除」需二次确认弹窗（"确认删除该发券活动？删除后不可恢复"）。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底价保护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§4.1.3.4），则对该商品回退优惠至刚好触底（实付=底价），其余商品不受影响；极端情况该券整体置灰提示「该商品受底价保护，本券不可用」。后端下单接口二次校验，前后端规则一致。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